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63F53" w:rsidRPr="00A2273B" w:rsidRDefault="00B757FB" w:rsidP="00BD3A84">
      <w:pPr>
        <w:rPr>
          <w:vanish/>
          <w:lang w:val="uk-UA"/>
        </w:rPr>
      </w:pPr>
      <w:r w:rsidRPr="00A2273B">
        <w:rPr>
          <w:noProof/>
          <w:lang w:val="en-US"/>
        </w:rPr>
        <w:drawing>
          <wp:inline distT="0" distB="0" distL="0" distR="0" wp14:anchorId="20B2F5FC" wp14:editId="07777777">
            <wp:extent cx="99726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302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08"/>
        <w:gridCol w:w="1560"/>
        <w:gridCol w:w="3402"/>
        <w:gridCol w:w="992"/>
        <w:gridCol w:w="709"/>
        <w:gridCol w:w="1701"/>
        <w:gridCol w:w="1417"/>
        <w:gridCol w:w="567"/>
        <w:gridCol w:w="3969"/>
      </w:tblGrid>
      <w:tr w:rsidR="00BB7D0F" w:rsidRPr="00A2273B" w14:paraId="348685BB" w14:textId="77777777" w:rsidTr="15989308">
        <w:trPr>
          <w:trHeight w:val="685"/>
        </w:trPr>
        <w:tc>
          <w:tcPr>
            <w:tcW w:w="16302" w:type="dxa"/>
            <w:gridSpan w:val="10"/>
            <w:tcBorders>
              <w:top w:val="nil"/>
            </w:tcBorders>
            <w:shd w:val="clear" w:color="auto" w:fill="C6D9F1"/>
            <w:vAlign w:val="center"/>
          </w:tcPr>
          <w:p w14:paraId="238924EE" w14:textId="5C7DD1B0" w:rsidR="00BB7D0F" w:rsidRPr="00A2273B" w:rsidRDefault="00C172D6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«</w:t>
            </w:r>
            <w:r w:rsidR="00937FF5" w:rsidRPr="00937FF5">
              <w:rPr>
                <w:rFonts w:cs="Aharoni"/>
                <w:b/>
                <w:caps/>
                <w:color w:val="632423"/>
                <w:spacing w:val="20"/>
                <w:sz w:val="36"/>
                <w:szCs w:val="36"/>
              </w:rPr>
              <w:t>Технології впливу у професійній комунікації</w:t>
            </w:r>
            <w:r w:rsidRPr="00A2273B">
              <w:rPr>
                <w:rFonts w:cs="Aharoni"/>
                <w:b/>
                <w:color w:val="632423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w:rsidR="008755F1" w:rsidRPr="00A2273B" w14:paraId="3CBD3732" w14:textId="77777777" w:rsidTr="15989308">
        <w:trPr>
          <w:trHeight w:val="327"/>
        </w:trPr>
        <w:tc>
          <w:tcPr>
            <w:tcW w:w="3545" w:type="dxa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4D679368" w14:textId="77777777" w:rsidR="008755F1" w:rsidRPr="00A2273B" w:rsidRDefault="008755F1" w:rsidP="00DD77E4">
            <w:pPr>
              <w:spacing w:after="0" w:line="192" w:lineRule="auto"/>
              <w:rPr>
                <w:b/>
                <w:spacing w:val="-16"/>
                <w:sz w:val="24"/>
                <w:szCs w:val="24"/>
                <w:lang w:val="uk-UA"/>
              </w:rPr>
            </w:pPr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>Шифр  та назва спеціальності</w:t>
            </w:r>
          </w:p>
        </w:tc>
        <w:tc>
          <w:tcPr>
            <w:tcW w:w="4394" w:type="dxa"/>
            <w:gridSpan w:val="2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p w14:paraId="603CE509" w14:textId="77777777" w:rsidR="008755F1" w:rsidRPr="00A2273B" w:rsidRDefault="004C3798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053</w:t>
            </w:r>
            <w:r w:rsidR="008755F1" w:rsidRPr="00A2273B">
              <w:rPr>
                <w:b/>
                <w:sz w:val="24"/>
                <w:szCs w:val="24"/>
                <w:lang w:val="uk-UA"/>
              </w:rPr>
              <w:t xml:space="preserve"> – </w:t>
            </w:r>
            <w:r w:rsidRPr="00A2273B"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10" w:type="dxa"/>
            <w:gridSpan w:val="2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/>
            <w:vAlign w:val="center"/>
          </w:tcPr>
          <w:p w14:paraId="563D8CCE" w14:textId="77777777" w:rsidR="008755F1" w:rsidRPr="00A2273B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Факультет / Інститут</w:t>
            </w:r>
          </w:p>
        </w:tc>
        <w:tc>
          <w:tcPr>
            <w:tcW w:w="5953" w:type="dxa"/>
            <w:gridSpan w:val="3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6538D964" w14:textId="77777777" w:rsidR="008755F1" w:rsidRPr="00A2273B" w:rsidRDefault="00D6588D" w:rsidP="005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ННІ</w:t>
            </w:r>
            <w:r w:rsidR="005145DE" w:rsidRPr="00A2273B">
              <w:rPr>
                <w:b/>
                <w:sz w:val="24"/>
                <w:szCs w:val="24"/>
                <w:lang w:val="uk-UA"/>
              </w:rPr>
              <w:t xml:space="preserve"> </w:t>
            </w:r>
            <w:r w:rsidR="004C3798" w:rsidRPr="00A2273B">
              <w:rPr>
                <w:b/>
                <w:sz w:val="24"/>
                <w:szCs w:val="24"/>
                <w:lang w:val="uk-UA"/>
              </w:rPr>
              <w:t>соціально-гуманітарних технологій</w:t>
            </w:r>
          </w:p>
        </w:tc>
      </w:tr>
      <w:tr w:rsidR="008755F1" w:rsidRPr="00A2273B" w14:paraId="61834DCE" w14:textId="77777777" w:rsidTr="15989308">
        <w:trPr>
          <w:trHeight w:val="205"/>
        </w:trPr>
        <w:tc>
          <w:tcPr>
            <w:tcW w:w="3545" w:type="dxa"/>
            <w:gridSpan w:val="3"/>
            <w:shd w:val="clear" w:color="auto" w:fill="DDD9C3"/>
          </w:tcPr>
          <w:p w14:paraId="75D510BE" w14:textId="77777777" w:rsidR="008755F1" w:rsidRPr="00A2273B" w:rsidRDefault="008755F1" w:rsidP="008755F1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pacing w:val="-10"/>
                <w:sz w:val="24"/>
                <w:szCs w:val="24"/>
                <w:lang w:val="uk-UA"/>
              </w:rPr>
              <w:t>Назва освітньо-наукової програми</w:t>
            </w:r>
          </w:p>
        </w:tc>
        <w:tc>
          <w:tcPr>
            <w:tcW w:w="4394" w:type="dxa"/>
            <w:gridSpan w:val="2"/>
            <w:tcBorders>
              <w:right w:val="single" w:sz="4" w:space="0" w:color="FFFFFF" w:themeColor="background1"/>
            </w:tcBorders>
            <w:shd w:val="clear" w:color="auto" w:fill="DBE5F1"/>
            <w:vAlign w:val="center"/>
          </w:tcPr>
          <w:p w14:paraId="4D06B2E3" w14:textId="77777777" w:rsidR="008755F1" w:rsidRPr="00A2273B" w:rsidRDefault="004C3798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10" w:type="dxa"/>
            <w:gridSpan w:val="2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DDD9C3"/>
            <w:vAlign w:val="center"/>
          </w:tcPr>
          <w:p w14:paraId="69B3D99D" w14:textId="77777777" w:rsidR="008755F1" w:rsidRPr="00A2273B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5953" w:type="dxa"/>
            <w:gridSpan w:val="3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111587C5" w14:textId="77777777" w:rsidR="008755F1" w:rsidRPr="00A2273B" w:rsidRDefault="004C3798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BB7D0F" w:rsidRPr="00A2273B" w14:paraId="3A33C970" w14:textId="77777777" w:rsidTr="15989308">
        <w:trPr>
          <w:trHeight w:val="388"/>
        </w:trPr>
        <w:tc>
          <w:tcPr>
            <w:tcW w:w="16302" w:type="dxa"/>
            <w:gridSpan w:val="10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52F7D7" w14:textId="77777777" w:rsidR="00BB7D0F" w:rsidRPr="00A2273B" w:rsidRDefault="0070647C" w:rsidP="008755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ВИКЛАДАЧ</w:t>
            </w:r>
          </w:p>
        </w:tc>
      </w:tr>
      <w:tr w:rsidR="0070647C" w:rsidRPr="00937FF5" w14:paraId="42D7BC48" w14:textId="77777777" w:rsidTr="15989308">
        <w:trPr>
          <w:trHeight w:val="405"/>
        </w:trPr>
        <w:tc>
          <w:tcPr>
            <w:tcW w:w="1985" w:type="dxa"/>
            <w:gridSpan w:val="2"/>
            <w:vMerge w:val="restart"/>
            <w:tcBorders>
              <w:top w:val="single" w:sz="4" w:space="0" w:color="FFFFFF" w:themeColor="background1"/>
            </w:tcBorders>
            <w:shd w:val="clear" w:color="auto" w:fill="DDD9C3"/>
            <w:vAlign w:val="center"/>
          </w:tcPr>
          <w:p w14:paraId="0A37501D" w14:textId="062EE3C9" w:rsidR="0070647C" w:rsidRPr="00A2273B" w:rsidRDefault="0037637E" w:rsidP="005145DE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FE53869" wp14:editId="2A331CF5">
                  <wp:extent cx="1091565" cy="1419225"/>
                  <wp:effectExtent l="0" t="0" r="0" b="9525"/>
                  <wp:docPr id="4" name="Рисунок 4" descr="http://web.kpi.kharkov.ua/ppuss/wp-content/uploads/sites/69/2019/12/SHapol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.kpi.kharkov.ua/ppuss/wp-content/uploads/sites/69/2019/12/SHapol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279" cy="144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8"/>
            <w:tcBorders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DBE5F1"/>
          </w:tcPr>
          <w:p w14:paraId="7CDFDBEB" w14:textId="56257141" w:rsidR="0070647C" w:rsidRPr="00A2273B" w:rsidRDefault="00937FF5" w:rsidP="005145DE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Шаполова Вікторія Валеріївна</w:t>
            </w:r>
            <w:r w:rsidR="0070647C" w:rsidRPr="00A2273B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937FF5">
              <w:rPr>
                <w:b/>
                <w:sz w:val="28"/>
                <w:szCs w:val="28"/>
                <w:lang w:val="uk-UA"/>
              </w:rPr>
              <w:t>Viktoriia.Shapolova@khpi.edu.ua</w:t>
            </w:r>
          </w:p>
        </w:tc>
      </w:tr>
      <w:tr w:rsidR="0070647C" w:rsidRPr="00725E94" w14:paraId="4E72BF3F" w14:textId="77777777" w:rsidTr="15989308">
        <w:trPr>
          <w:trHeight w:val="1440"/>
        </w:trPr>
        <w:tc>
          <w:tcPr>
            <w:tcW w:w="1985" w:type="dxa"/>
            <w:gridSpan w:val="2"/>
            <w:vMerge/>
            <w:vAlign w:val="center"/>
          </w:tcPr>
          <w:p w14:paraId="5DAB6C7B" w14:textId="77777777" w:rsidR="0070647C" w:rsidRPr="00A2273B" w:rsidRDefault="0070647C" w:rsidP="005145DE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14317" w:type="dxa"/>
            <w:gridSpan w:val="8"/>
            <w:tcBorders>
              <w:top w:val="single" w:sz="18" w:space="0" w:color="FFFFFF" w:themeColor="background1"/>
              <w:right w:val="single" w:sz="4" w:space="0" w:color="FFFFFF" w:themeColor="background1"/>
            </w:tcBorders>
            <w:shd w:val="clear" w:color="auto" w:fill="DBE5F1"/>
          </w:tcPr>
          <w:p w14:paraId="4F0B0243" w14:textId="16FCC46E" w:rsidR="0070647C" w:rsidRPr="00A2273B" w:rsidRDefault="00937FF5" w:rsidP="00684B57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Кандидат педагогічних</w:t>
            </w:r>
            <w:r w:rsidR="0070647C"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 наук, 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доцент</w:t>
            </w:r>
            <w:r w:rsidR="0070647C"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b/>
                <w:bCs/>
                <w:spacing w:val="-4"/>
                <w:sz w:val="24"/>
                <w:szCs w:val="24"/>
                <w:lang w:val="uk-UA"/>
              </w:rPr>
              <w:t>доцент</w:t>
            </w:r>
            <w:r w:rsidR="0070647C"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 кафедри </w:t>
            </w:r>
            <w:r w:rsidR="0050240B"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>педагогіки та психології управління соціальними системами імені акад. І.А. Зязюна</w:t>
            </w:r>
            <w:r w:rsidR="000B67C6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 НТУ «ХПІ». Досвід </w:t>
            </w:r>
            <w:r w:rsidR="00684B57">
              <w:rPr>
                <w:b/>
                <w:bCs/>
                <w:spacing w:val="-4"/>
                <w:sz w:val="24"/>
                <w:szCs w:val="24"/>
                <w:lang w:val="uk-UA"/>
              </w:rPr>
              <w:t>викладацької діяльності  – 10</w:t>
            </w:r>
            <w:r w:rsidR="0070647C"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 років. Автор понад </w:t>
            </w:r>
            <w:r w:rsidR="0037637E">
              <w:rPr>
                <w:b/>
                <w:bCs/>
                <w:spacing w:val="-4"/>
                <w:sz w:val="24"/>
                <w:szCs w:val="24"/>
                <w:lang w:val="uk-UA"/>
              </w:rPr>
              <w:t>5</w:t>
            </w:r>
            <w:r w:rsidR="0070647C"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0 наукових та навчально-методичних праць. </w:t>
            </w:r>
            <w:r w:rsidR="000B67C6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Автор тренінгів з розвитку особистості в різних аспектах та з командоутворення. </w:t>
            </w:r>
            <w:r w:rsidR="0070647C"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>Провідний лектор з дисциплін: «</w:t>
            </w:r>
            <w:r w:rsidR="0037637E">
              <w:rPr>
                <w:b/>
                <w:bCs/>
                <w:spacing w:val="-4"/>
                <w:sz w:val="24"/>
                <w:szCs w:val="24"/>
                <w:lang w:val="uk-UA"/>
              </w:rPr>
              <w:t>Методи гри в психологічній практиці</w:t>
            </w:r>
            <w:r w:rsidR="0070647C"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>», «</w:t>
            </w:r>
            <w:r w:rsidR="0050240B"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Психологія </w:t>
            </w:r>
            <w:r w:rsidR="0037637E">
              <w:rPr>
                <w:b/>
                <w:bCs/>
                <w:spacing w:val="-4"/>
                <w:sz w:val="24"/>
                <w:szCs w:val="24"/>
                <w:lang w:val="uk-UA"/>
              </w:rPr>
              <w:t>адиктивної поведінки</w:t>
            </w:r>
            <w:r w:rsidR="0070647C"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>», «</w:t>
            </w:r>
            <w:r w:rsidR="0037637E">
              <w:rPr>
                <w:b/>
                <w:bCs/>
                <w:spacing w:val="-4"/>
                <w:sz w:val="24"/>
                <w:szCs w:val="24"/>
                <w:lang w:val="uk-UA"/>
              </w:rPr>
              <w:t>Соціально-психологічний тренінг</w:t>
            </w:r>
            <w:r w:rsidR="0070647C"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>»</w:t>
            </w:r>
            <w:r w:rsidR="0037637E">
              <w:rPr>
                <w:b/>
                <w:bCs/>
                <w:spacing w:val="-4"/>
                <w:sz w:val="24"/>
                <w:szCs w:val="24"/>
                <w:lang w:val="uk-UA"/>
              </w:rPr>
              <w:t>, «Психологія тимбілдингу</w:t>
            </w:r>
            <w:r w:rsidR="0050240B" w:rsidRPr="15989308">
              <w:rPr>
                <w:b/>
                <w:bCs/>
                <w:spacing w:val="-4"/>
                <w:sz w:val="24"/>
                <w:szCs w:val="24"/>
                <w:lang w:val="uk-UA"/>
              </w:rPr>
              <w:t>» та ін.</w:t>
            </w:r>
          </w:p>
        </w:tc>
      </w:tr>
      <w:tr w:rsidR="005145DE" w:rsidRPr="00A2273B" w14:paraId="617EA928" w14:textId="77777777" w:rsidTr="15989308">
        <w:trPr>
          <w:trHeight w:val="388"/>
        </w:trPr>
        <w:tc>
          <w:tcPr>
            <w:tcW w:w="16302" w:type="dxa"/>
            <w:gridSpan w:val="10"/>
            <w:shd w:val="clear" w:color="auto" w:fill="D9D9D9" w:themeFill="background1" w:themeFillShade="D9"/>
            <w:vAlign w:val="center"/>
          </w:tcPr>
          <w:p w14:paraId="23149C2A" w14:textId="77777777" w:rsidR="005145DE" w:rsidRPr="00A2273B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ЗАГАЛЬНА ІНФОРМАЦІЯ ПРО ДИСЦИПЛІНУ</w:t>
            </w:r>
          </w:p>
        </w:tc>
      </w:tr>
      <w:tr w:rsidR="005145DE" w:rsidRPr="00725E94" w14:paraId="358B708E" w14:textId="77777777" w:rsidTr="15989308">
        <w:trPr>
          <w:trHeight w:val="388"/>
        </w:trPr>
        <w:tc>
          <w:tcPr>
            <w:tcW w:w="1985" w:type="dxa"/>
            <w:gridSpan w:val="2"/>
            <w:shd w:val="clear" w:color="auto" w:fill="DDD9C3"/>
            <w:vAlign w:val="center"/>
          </w:tcPr>
          <w:p w14:paraId="52509215" w14:textId="77777777"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14317" w:type="dxa"/>
            <w:gridSpan w:val="8"/>
            <w:shd w:val="clear" w:color="auto" w:fill="DBE5F1"/>
          </w:tcPr>
          <w:p w14:paraId="3ABAA251" w14:textId="79DF0443" w:rsidR="005145DE" w:rsidRPr="00A2273B" w:rsidRDefault="001C7225" w:rsidP="00C930B6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B31B5A">
              <w:rPr>
                <w:sz w:val="24"/>
                <w:szCs w:val="24"/>
                <w:lang w:val="uk-UA"/>
              </w:rPr>
              <w:t>Дисципліна спрямована на оволодіння теоретичних основ</w:t>
            </w:r>
            <w:r w:rsidR="00B31B5A" w:rsidRPr="00B31B5A">
              <w:rPr>
                <w:sz w:val="24"/>
                <w:szCs w:val="24"/>
                <w:lang w:val="uk-UA"/>
              </w:rPr>
              <w:t xml:space="preserve"> та відпрацювання практичних навичок побудови успішного процесу комунікації у форматі ділового </w:t>
            </w:r>
            <w:r w:rsidR="00CA7D25">
              <w:rPr>
                <w:sz w:val="24"/>
                <w:szCs w:val="24"/>
                <w:lang w:val="uk-UA"/>
              </w:rPr>
              <w:t>спілкування,</w:t>
            </w:r>
            <w:r w:rsidR="00B31B5A" w:rsidRPr="00B31B5A">
              <w:rPr>
                <w:sz w:val="24"/>
                <w:szCs w:val="24"/>
                <w:lang w:val="uk-UA"/>
              </w:rPr>
              <w:t xml:space="preserve"> переконливо будувати аргументацію та контраргументацію, знати та володіти технологія</w:t>
            </w:r>
            <w:r w:rsidR="00CA7D25">
              <w:rPr>
                <w:sz w:val="24"/>
                <w:szCs w:val="24"/>
                <w:lang w:val="uk-UA"/>
              </w:rPr>
              <w:t>ми впливу в діловій комунікації,</w:t>
            </w:r>
            <w:r w:rsidR="00B31B5A" w:rsidRPr="00B31B5A">
              <w:rPr>
                <w:sz w:val="24"/>
                <w:szCs w:val="24"/>
                <w:lang w:val="uk-UA"/>
              </w:rPr>
              <w:t xml:space="preserve"> прийомами ефективного та успішного спілкування</w:t>
            </w:r>
            <w:r w:rsidR="00CA7D25">
              <w:rPr>
                <w:sz w:val="24"/>
                <w:szCs w:val="24"/>
                <w:lang w:val="uk-UA"/>
              </w:rPr>
              <w:t>,</w:t>
            </w:r>
            <w:r w:rsidR="00CA7D25" w:rsidRPr="00B31B5A">
              <w:rPr>
                <w:sz w:val="24"/>
                <w:szCs w:val="24"/>
                <w:lang w:val="uk-UA"/>
              </w:rPr>
              <w:t xml:space="preserve"> </w:t>
            </w:r>
            <w:r w:rsidR="00CA7D25">
              <w:rPr>
                <w:sz w:val="24"/>
                <w:szCs w:val="24"/>
                <w:lang w:val="uk-UA"/>
              </w:rPr>
              <w:t xml:space="preserve">прийомами протистояння </w:t>
            </w:r>
            <w:r w:rsidR="00CA7D25" w:rsidRPr="00B31B5A">
              <w:rPr>
                <w:sz w:val="24"/>
                <w:szCs w:val="24"/>
                <w:lang w:val="uk-UA"/>
              </w:rPr>
              <w:t>маніпуляціям у діловому спілкуванні.</w:t>
            </w:r>
            <w:r w:rsidR="00CA7D25">
              <w:rPr>
                <w:sz w:val="24"/>
                <w:szCs w:val="24"/>
                <w:lang w:val="uk-UA"/>
              </w:rPr>
              <w:t xml:space="preserve"> </w:t>
            </w:r>
            <w:r w:rsidR="00B31B5A">
              <w:rPr>
                <w:sz w:val="24"/>
                <w:szCs w:val="24"/>
                <w:lang w:val="uk-UA"/>
              </w:rPr>
              <w:t>Робиться акцент на аналізі</w:t>
            </w:r>
            <w:r w:rsidR="00B31B5A" w:rsidRPr="00B31B5A">
              <w:rPr>
                <w:sz w:val="24"/>
                <w:szCs w:val="24"/>
                <w:lang w:val="uk-UA"/>
              </w:rPr>
              <w:t xml:space="preserve"> вербаль</w:t>
            </w:r>
            <w:r w:rsidR="00C930B6">
              <w:rPr>
                <w:sz w:val="24"/>
                <w:szCs w:val="24"/>
                <w:lang w:val="uk-UA"/>
              </w:rPr>
              <w:t>ної та невербальної комунікації, розвитку практичних комунікативних вмінь та навичок</w:t>
            </w:r>
            <w:r w:rsidR="00C930B6" w:rsidRPr="00C930B6">
              <w:rPr>
                <w:sz w:val="24"/>
                <w:szCs w:val="24"/>
                <w:lang w:val="uk-UA"/>
              </w:rPr>
              <w:t>, як</w:t>
            </w:r>
            <w:r w:rsidR="00C930B6">
              <w:rPr>
                <w:sz w:val="24"/>
                <w:szCs w:val="24"/>
                <w:lang w:val="uk-UA"/>
              </w:rPr>
              <w:t>і будуть ефективними</w:t>
            </w:r>
            <w:r w:rsidR="00C930B6" w:rsidRPr="00C930B6">
              <w:rPr>
                <w:sz w:val="24"/>
                <w:szCs w:val="24"/>
                <w:lang w:val="uk-UA"/>
              </w:rPr>
              <w:t xml:space="preserve"> в різних ситуаціях ділового спілку</w:t>
            </w:r>
            <w:r w:rsidR="00C930B6">
              <w:rPr>
                <w:sz w:val="24"/>
                <w:szCs w:val="24"/>
                <w:lang w:val="uk-UA"/>
              </w:rPr>
              <w:t xml:space="preserve">вання (публічний виступ, ділові </w:t>
            </w:r>
            <w:r w:rsidR="00C930B6" w:rsidRPr="00C930B6">
              <w:rPr>
                <w:sz w:val="24"/>
                <w:szCs w:val="24"/>
                <w:lang w:val="uk-UA"/>
              </w:rPr>
              <w:t>переговори</w:t>
            </w:r>
            <w:r w:rsidR="00C930B6">
              <w:rPr>
                <w:sz w:val="24"/>
                <w:szCs w:val="24"/>
                <w:lang w:val="uk-UA"/>
              </w:rPr>
              <w:t xml:space="preserve">, наради та презентації, </w:t>
            </w:r>
            <w:r w:rsidR="00C930B6" w:rsidRPr="00C930B6">
              <w:rPr>
                <w:sz w:val="24"/>
                <w:szCs w:val="24"/>
                <w:lang w:val="uk-UA"/>
              </w:rPr>
              <w:t>пуб</w:t>
            </w:r>
            <w:r w:rsidR="00C930B6">
              <w:rPr>
                <w:sz w:val="24"/>
                <w:szCs w:val="24"/>
                <w:lang w:val="uk-UA"/>
              </w:rPr>
              <w:t>лічна дискусія, диспут, дебати тощо</w:t>
            </w:r>
            <w:r w:rsidR="00C930B6" w:rsidRPr="00C930B6">
              <w:rPr>
                <w:sz w:val="24"/>
                <w:szCs w:val="24"/>
                <w:lang w:val="uk-UA"/>
              </w:rPr>
              <w:t>)</w:t>
            </w:r>
            <w:r w:rsidR="00C930B6">
              <w:rPr>
                <w:sz w:val="24"/>
                <w:szCs w:val="24"/>
                <w:lang w:val="uk-UA"/>
              </w:rPr>
              <w:t>.</w:t>
            </w:r>
          </w:p>
        </w:tc>
      </w:tr>
      <w:tr w:rsidR="005145DE" w:rsidRPr="00A2273B" w14:paraId="71EAFA00" w14:textId="77777777" w:rsidTr="15989308">
        <w:trPr>
          <w:trHeight w:val="388"/>
        </w:trPr>
        <w:tc>
          <w:tcPr>
            <w:tcW w:w="1985" w:type="dxa"/>
            <w:gridSpan w:val="2"/>
            <w:shd w:val="clear" w:color="auto" w:fill="DDD9C3"/>
            <w:vAlign w:val="center"/>
          </w:tcPr>
          <w:p w14:paraId="10AA787B" w14:textId="77777777"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Мета та цілі</w:t>
            </w:r>
          </w:p>
        </w:tc>
        <w:tc>
          <w:tcPr>
            <w:tcW w:w="14317" w:type="dxa"/>
            <w:gridSpan w:val="8"/>
            <w:shd w:val="clear" w:color="auto" w:fill="DBE5F1"/>
          </w:tcPr>
          <w:p w14:paraId="521B77EE" w14:textId="7AECA07D" w:rsidR="005145DE" w:rsidRPr="00A2273B" w:rsidRDefault="001C7225" w:rsidP="00C930B6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Виробити у аспіранта теоретичні уявлення та </w:t>
            </w:r>
            <w:r w:rsidR="00357EA9" w:rsidRPr="00A2273B">
              <w:rPr>
                <w:sz w:val="24"/>
                <w:szCs w:val="24"/>
                <w:lang w:val="uk-UA"/>
              </w:rPr>
              <w:t>компетентності</w:t>
            </w:r>
            <w:r w:rsidRPr="00A2273B">
              <w:rPr>
                <w:sz w:val="24"/>
                <w:szCs w:val="24"/>
                <w:lang w:val="uk-UA"/>
              </w:rPr>
              <w:t xml:space="preserve"> щодо </w:t>
            </w:r>
            <w:r w:rsidR="00C930B6" w:rsidRPr="00B31B5A">
              <w:rPr>
                <w:sz w:val="24"/>
                <w:szCs w:val="24"/>
                <w:lang w:val="uk-UA"/>
              </w:rPr>
              <w:t>успішного</w:t>
            </w:r>
            <w:r w:rsidR="0086048F">
              <w:rPr>
                <w:sz w:val="24"/>
                <w:szCs w:val="24"/>
                <w:lang w:val="uk-UA"/>
              </w:rPr>
              <w:t xml:space="preserve">, ефективного та комфортного </w:t>
            </w:r>
            <w:r w:rsidR="00C930B6" w:rsidRPr="00B31B5A">
              <w:rPr>
                <w:sz w:val="24"/>
                <w:szCs w:val="24"/>
                <w:lang w:val="uk-UA"/>
              </w:rPr>
              <w:t xml:space="preserve">процесу комунікації у форматі ділового </w:t>
            </w:r>
            <w:r w:rsidR="00C930B6">
              <w:rPr>
                <w:sz w:val="24"/>
                <w:szCs w:val="24"/>
                <w:lang w:val="uk-UA"/>
              </w:rPr>
              <w:t>спілкування</w:t>
            </w:r>
            <w:r w:rsidR="0086048F">
              <w:rPr>
                <w:sz w:val="24"/>
                <w:szCs w:val="24"/>
                <w:lang w:val="uk-UA"/>
              </w:rPr>
              <w:t>, володіння технологіями впливу у професійній комунікації.</w:t>
            </w:r>
          </w:p>
        </w:tc>
      </w:tr>
      <w:tr w:rsidR="005145DE" w:rsidRPr="00A2273B" w14:paraId="4B92DE6B" w14:textId="77777777" w:rsidTr="15989308">
        <w:trPr>
          <w:trHeight w:val="388"/>
        </w:trPr>
        <w:tc>
          <w:tcPr>
            <w:tcW w:w="1985" w:type="dxa"/>
            <w:gridSpan w:val="2"/>
            <w:shd w:val="clear" w:color="auto" w:fill="DDD9C3"/>
            <w:vAlign w:val="center"/>
          </w:tcPr>
          <w:p w14:paraId="11703F60" w14:textId="77777777" w:rsidR="005145DE" w:rsidRPr="00A2273B" w:rsidRDefault="005145DE" w:rsidP="009B0B8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14317" w:type="dxa"/>
            <w:gridSpan w:val="8"/>
            <w:shd w:val="clear" w:color="auto" w:fill="DBE5F1"/>
          </w:tcPr>
          <w:p w14:paraId="3617560A" w14:textId="45525039" w:rsidR="005145DE" w:rsidRPr="00A2273B" w:rsidRDefault="002A3645" w:rsidP="00455E3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Лекції, </w:t>
            </w:r>
            <w:r w:rsidR="000D3A34" w:rsidRPr="00A2273B">
              <w:rPr>
                <w:sz w:val="24"/>
                <w:szCs w:val="24"/>
                <w:lang w:val="uk-UA"/>
              </w:rPr>
              <w:t>практичні заняття</w:t>
            </w:r>
            <w:r w:rsidRPr="00A2273B">
              <w:rPr>
                <w:sz w:val="24"/>
                <w:szCs w:val="24"/>
                <w:lang w:val="uk-UA"/>
              </w:rPr>
              <w:t>, консультації</w:t>
            </w:r>
            <w:r w:rsidR="00C930B6">
              <w:rPr>
                <w:sz w:val="24"/>
                <w:szCs w:val="24"/>
                <w:lang w:val="uk-UA"/>
              </w:rPr>
              <w:t>. Підсумковий контроль - залік</w:t>
            </w:r>
          </w:p>
        </w:tc>
      </w:tr>
      <w:tr w:rsidR="005145DE" w:rsidRPr="00725E94" w14:paraId="5B1792E7" w14:textId="77777777" w:rsidTr="15989308">
        <w:trPr>
          <w:trHeight w:val="388"/>
        </w:trPr>
        <w:tc>
          <w:tcPr>
            <w:tcW w:w="1985" w:type="dxa"/>
            <w:gridSpan w:val="2"/>
            <w:shd w:val="clear" w:color="auto" w:fill="DDD9C3"/>
            <w:vAlign w:val="center"/>
          </w:tcPr>
          <w:p w14:paraId="55623A05" w14:textId="77777777" w:rsidR="005145DE" w:rsidRPr="00A2273B" w:rsidRDefault="005145DE" w:rsidP="00AA2657">
            <w:pPr>
              <w:spacing w:after="0" w:line="240" w:lineRule="auto"/>
              <w:ind w:right="-108" w:hanging="108"/>
              <w:rPr>
                <w:b/>
                <w:spacing w:val="-16"/>
                <w:sz w:val="24"/>
                <w:szCs w:val="24"/>
                <w:lang w:val="uk-UA"/>
              </w:rPr>
            </w:pPr>
            <w:r w:rsidRPr="00A2273B">
              <w:rPr>
                <w:b/>
                <w:spacing w:val="-16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4317" w:type="dxa"/>
            <w:gridSpan w:val="8"/>
            <w:shd w:val="clear" w:color="auto" w:fill="DBE5F1"/>
          </w:tcPr>
          <w:p w14:paraId="306D1351" w14:textId="77777777" w:rsidR="0086048F" w:rsidRPr="0086048F" w:rsidRDefault="0086048F" w:rsidP="0086048F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inorHAnsi" w:hAnsiTheme="minorHAnsi" w:cstheme="minorHAnsi"/>
                <w:lang w:val="uk-UA"/>
              </w:rPr>
            </w:pPr>
            <w:r w:rsidRPr="0086048F">
              <w:rPr>
                <w:rFonts w:asciiTheme="minorHAnsi" w:hAnsiTheme="minorHAnsi" w:cstheme="minorHAnsi"/>
                <w:lang w:val="uk-UA"/>
              </w:rPr>
              <w:t xml:space="preserve">РН5. Здійснювати психологічний супровід професіоналізації особистості фахівця. </w:t>
            </w:r>
          </w:p>
          <w:p w14:paraId="638AE0AB" w14:textId="77777777" w:rsidR="0086048F" w:rsidRPr="0086048F" w:rsidRDefault="0086048F" w:rsidP="0086048F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inorHAnsi" w:hAnsiTheme="minorHAnsi" w:cstheme="minorHAnsi"/>
                <w:lang w:val="uk-UA"/>
              </w:rPr>
            </w:pPr>
            <w:r w:rsidRPr="0086048F">
              <w:rPr>
                <w:rFonts w:asciiTheme="minorHAnsi" w:hAnsiTheme="minorHAnsi" w:cstheme="minorHAnsi"/>
                <w:lang w:val="uk-UA"/>
              </w:rPr>
              <w:t xml:space="preserve">РН6. Уміти полілогічно взаємодіяти із світовою науковою спільнотою з проблематики дослідження. </w:t>
            </w:r>
          </w:p>
          <w:p w14:paraId="2899DCD9" w14:textId="2BEA9A00" w:rsidR="005145DE" w:rsidRPr="0086048F" w:rsidRDefault="0086048F" w:rsidP="0086048F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inorHAnsi" w:hAnsiTheme="minorHAnsi" w:cstheme="minorHAnsi"/>
                <w:lang w:val="uk-UA"/>
              </w:rPr>
            </w:pPr>
            <w:r w:rsidRPr="0086048F">
              <w:rPr>
                <w:rFonts w:asciiTheme="minorHAnsi" w:hAnsiTheme="minorHAnsi" w:cstheme="minorHAnsi"/>
                <w:lang w:val="uk-UA"/>
              </w:rPr>
              <w:t xml:space="preserve">РН7. Працювати над власним розвитком та вдосконаленням, визначати свої професійні можливості та виявляти прагнення до підвищення професійної кваліфікації та професійної мобільності. </w:t>
            </w:r>
          </w:p>
        </w:tc>
      </w:tr>
      <w:tr w:rsidR="005145DE" w:rsidRPr="00A2273B" w14:paraId="562F1D5C" w14:textId="77777777" w:rsidTr="15989308">
        <w:trPr>
          <w:trHeight w:val="388"/>
        </w:trPr>
        <w:tc>
          <w:tcPr>
            <w:tcW w:w="1985" w:type="dxa"/>
            <w:gridSpan w:val="2"/>
            <w:shd w:val="clear" w:color="auto" w:fill="DDD9C3"/>
            <w:vAlign w:val="center"/>
          </w:tcPr>
          <w:p w14:paraId="707F1B9C" w14:textId="77777777"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4317" w:type="dxa"/>
            <w:gridSpan w:val="8"/>
            <w:shd w:val="clear" w:color="auto" w:fill="DBE5F1"/>
          </w:tcPr>
          <w:p w14:paraId="33F53E39" w14:textId="7807535D" w:rsidR="005145DE" w:rsidRPr="00A2273B" w:rsidRDefault="002A3645" w:rsidP="00C47B29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Загальний обсяг дисципліни </w:t>
            </w:r>
            <w:r w:rsidR="00C47B29">
              <w:rPr>
                <w:sz w:val="24"/>
                <w:szCs w:val="24"/>
                <w:lang w:val="uk-UA"/>
              </w:rPr>
              <w:t>120</w:t>
            </w:r>
            <w:r w:rsidRPr="00A2273B">
              <w:rPr>
                <w:sz w:val="24"/>
                <w:szCs w:val="24"/>
                <w:lang w:val="uk-UA"/>
              </w:rPr>
              <w:t xml:space="preserve"> год.</w:t>
            </w:r>
            <w:r w:rsidR="00804D6F" w:rsidRPr="00A2273B">
              <w:rPr>
                <w:sz w:val="24"/>
                <w:szCs w:val="24"/>
                <w:lang w:val="uk-UA"/>
              </w:rPr>
              <w:t>:</w:t>
            </w:r>
            <w:r w:rsidRPr="00A2273B">
              <w:rPr>
                <w:sz w:val="24"/>
                <w:szCs w:val="24"/>
                <w:lang w:val="uk-UA"/>
              </w:rPr>
              <w:t xml:space="preserve"> лекції – </w:t>
            </w:r>
            <w:r w:rsidR="00C47B29">
              <w:rPr>
                <w:sz w:val="24"/>
                <w:szCs w:val="24"/>
                <w:lang w:val="uk-UA"/>
              </w:rPr>
              <w:t>20</w:t>
            </w:r>
            <w:r w:rsidRPr="00A2273B">
              <w:rPr>
                <w:sz w:val="24"/>
                <w:szCs w:val="24"/>
                <w:lang w:val="uk-UA"/>
              </w:rPr>
              <w:t xml:space="preserve"> год., </w:t>
            </w:r>
            <w:r w:rsidR="000D3A34" w:rsidRPr="00A2273B">
              <w:rPr>
                <w:sz w:val="24"/>
                <w:szCs w:val="24"/>
                <w:lang w:val="uk-UA"/>
              </w:rPr>
              <w:t xml:space="preserve">практичні заняття </w:t>
            </w:r>
            <w:r w:rsidRPr="00A2273B">
              <w:rPr>
                <w:sz w:val="24"/>
                <w:szCs w:val="24"/>
                <w:lang w:val="uk-UA"/>
              </w:rPr>
              <w:t xml:space="preserve">– </w:t>
            </w:r>
            <w:r w:rsidR="00C47B29">
              <w:rPr>
                <w:sz w:val="24"/>
                <w:szCs w:val="24"/>
                <w:lang w:val="uk-UA"/>
              </w:rPr>
              <w:t>20</w:t>
            </w:r>
            <w:r w:rsidR="000D3A34" w:rsidRPr="00A2273B">
              <w:rPr>
                <w:sz w:val="24"/>
                <w:szCs w:val="24"/>
                <w:lang w:val="uk-UA"/>
              </w:rPr>
              <w:t xml:space="preserve"> </w:t>
            </w:r>
            <w:r w:rsidRPr="00A2273B">
              <w:rPr>
                <w:sz w:val="24"/>
                <w:szCs w:val="24"/>
                <w:lang w:val="uk-UA"/>
              </w:rPr>
              <w:t xml:space="preserve">год., </w:t>
            </w:r>
            <w:r w:rsidR="00455E3F" w:rsidRPr="00A2273B">
              <w:rPr>
                <w:sz w:val="24"/>
                <w:szCs w:val="24"/>
                <w:lang w:val="uk-UA"/>
              </w:rPr>
              <w:t xml:space="preserve">самостійна робота – </w:t>
            </w:r>
            <w:r w:rsidR="00C47B29">
              <w:rPr>
                <w:sz w:val="24"/>
                <w:szCs w:val="24"/>
                <w:lang w:val="uk-UA"/>
              </w:rPr>
              <w:t>8</w:t>
            </w:r>
            <w:r w:rsidR="00455E3F" w:rsidRPr="00A2273B">
              <w:rPr>
                <w:sz w:val="24"/>
                <w:szCs w:val="24"/>
                <w:lang w:val="uk-UA"/>
              </w:rPr>
              <w:t>0 год.</w:t>
            </w:r>
          </w:p>
        </w:tc>
      </w:tr>
      <w:tr w:rsidR="005145DE" w:rsidRPr="00A2273B" w14:paraId="099472A4" w14:textId="77777777" w:rsidTr="15989308">
        <w:trPr>
          <w:trHeight w:val="388"/>
        </w:trPr>
        <w:tc>
          <w:tcPr>
            <w:tcW w:w="1985" w:type="dxa"/>
            <w:gridSpan w:val="2"/>
            <w:shd w:val="clear" w:color="auto" w:fill="DDD9C3"/>
            <w:vAlign w:val="center"/>
          </w:tcPr>
          <w:p w14:paraId="0CD2D9BC" w14:textId="77777777" w:rsidR="005145DE" w:rsidRPr="00A2273B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lastRenderedPageBreak/>
              <w:t>Пререквізити</w:t>
            </w:r>
          </w:p>
        </w:tc>
        <w:tc>
          <w:tcPr>
            <w:tcW w:w="14317" w:type="dxa"/>
            <w:gridSpan w:val="8"/>
            <w:shd w:val="clear" w:color="auto" w:fill="DBE5F1"/>
          </w:tcPr>
          <w:p w14:paraId="6DD1CD1A" w14:textId="7C9E62E4" w:rsidR="005145DE" w:rsidRPr="00A2273B" w:rsidRDefault="00455E3F" w:rsidP="00455E3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«</w:t>
            </w:r>
            <w:r w:rsidR="00725E94">
              <w:rPr>
                <w:sz w:val="24"/>
                <w:szCs w:val="24"/>
                <w:lang w:val="uk-UA"/>
              </w:rPr>
              <w:t>Сучасні технології самовдосконалення та кар’єрного успіху</w:t>
            </w:r>
            <w:r w:rsidRPr="00A2273B">
              <w:rPr>
                <w:sz w:val="24"/>
                <w:szCs w:val="24"/>
                <w:lang w:val="uk-UA"/>
              </w:rPr>
              <w:t>»</w:t>
            </w:r>
            <w:r w:rsidR="00725E94">
              <w:rPr>
                <w:sz w:val="24"/>
                <w:szCs w:val="24"/>
                <w:lang w:val="uk-UA"/>
              </w:rPr>
              <w:t>, «Психологія розвитку людини»</w:t>
            </w:r>
          </w:p>
        </w:tc>
      </w:tr>
      <w:tr w:rsidR="00443A45" w:rsidRPr="00A2273B" w14:paraId="060A63E5" w14:textId="77777777" w:rsidTr="15989308">
        <w:trPr>
          <w:trHeight w:val="1737"/>
        </w:trPr>
        <w:tc>
          <w:tcPr>
            <w:tcW w:w="1985" w:type="dxa"/>
            <w:gridSpan w:val="2"/>
            <w:shd w:val="clear" w:color="auto" w:fill="DDD9C3"/>
            <w:vAlign w:val="center"/>
          </w:tcPr>
          <w:p w14:paraId="1B075FD0" w14:textId="77777777" w:rsidR="00443A45" w:rsidRPr="00A2273B" w:rsidRDefault="007E3323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Вимоги викладача</w:t>
            </w:r>
          </w:p>
        </w:tc>
        <w:tc>
          <w:tcPr>
            <w:tcW w:w="14317" w:type="dxa"/>
            <w:gridSpan w:val="8"/>
            <w:shd w:val="clear" w:color="auto" w:fill="DBE5F1"/>
          </w:tcPr>
          <w:p w14:paraId="2F2B8810" w14:textId="77777777" w:rsidR="0098315A" w:rsidRPr="00A2273B" w:rsidRDefault="007E3323" w:rsidP="003B075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Аспірант зобов'язаний відвідувати всі заняття згідно розкладу, не спізнюватися. </w:t>
            </w:r>
            <w:r w:rsidR="009F6823" w:rsidRPr="00A2273B">
              <w:rPr>
                <w:sz w:val="24"/>
                <w:szCs w:val="24"/>
                <w:lang w:val="uk-UA"/>
              </w:rPr>
              <w:t>Дотримуватися етики поведінки.</w:t>
            </w:r>
            <w:r w:rsidRPr="00A2273B">
              <w:rPr>
                <w:sz w:val="24"/>
                <w:szCs w:val="24"/>
                <w:lang w:val="uk-UA"/>
              </w:rPr>
              <w:t xml:space="preserve"> </w:t>
            </w:r>
            <w:r w:rsidR="00C243DB" w:rsidRPr="00A2273B">
              <w:rPr>
                <w:sz w:val="24"/>
                <w:szCs w:val="24"/>
                <w:lang w:val="uk-UA"/>
              </w:rPr>
              <w:t>Працювати з навчальної та додатковою літературою, з літературою на електронних носіях і в Інтернеті. При пропуску лекційних занять проводиться усна співбесіда за темою. З метою оволодіння необхідною якістю освіти з дисципліни потрібно відвідуваність і регулярна підготовленість до занять.</w:t>
            </w:r>
            <w:r w:rsidR="000236B0" w:rsidRPr="00A2273B">
              <w:rPr>
                <w:sz w:val="24"/>
                <w:szCs w:val="24"/>
                <w:lang w:val="uk-UA"/>
              </w:rPr>
              <w:t xml:space="preserve"> </w:t>
            </w:r>
            <w:r w:rsidR="009F6823" w:rsidRPr="00A2273B">
              <w:rPr>
                <w:sz w:val="24"/>
                <w:szCs w:val="24"/>
                <w:lang w:val="uk-UA"/>
              </w:rPr>
              <w:t>Без особистої присутності аспіранта підсумковий контроль не проводиться</w:t>
            </w:r>
            <w:r w:rsidR="0098315A" w:rsidRPr="00A2273B">
              <w:rPr>
                <w:sz w:val="24"/>
                <w:szCs w:val="24"/>
                <w:lang w:val="uk-UA"/>
              </w:rPr>
              <w:t>.</w:t>
            </w:r>
          </w:p>
        </w:tc>
      </w:tr>
      <w:tr w:rsidR="00455E3F" w:rsidRPr="00A2273B" w14:paraId="0ACA9C56" w14:textId="77777777" w:rsidTr="15989308">
        <w:trPr>
          <w:trHeight w:val="388"/>
        </w:trPr>
        <w:tc>
          <w:tcPr>
            <w:tcW w:w="16302" w:type="dxa"/>
            <w:gridSpan w:val="10"/>
            <w:shd w:val="clear" w:color="auto" w:fill="D9D9D9" w:themeFill="background1" w:themeFillShade="D9"/>
            <w:vAlign w:val="center"/>
          </w:tcPr>
          <w:p w14:paraId="6492FCB7" w14:textId="77777777" w:rsidR="00455E3F" w:rsidRPr="00A2273B" w:rsidRDefault="00455E3F" w:rsidP="00455E3F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СТРУКТУРА</w:t>
            </w:r>
            <w:r w:rsidR="00555CCE"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</w:t>
            </w: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ДИСЦИПЛІНИ</w:t>
            </w:r>
          </w:p>
        </w:tc>
      </w:tr>
      <w:tr w:rsidR="00063F53" w:rsidRPr="00A2273B" w14:paraId="19F882E8" w14:textId="77777777" w:rsidTr="00B133C3">
        <w:trPr>
          <w:trHeight w:val="388"/>
        </w:trPr>
        <w:tc>
          <w:tcPr>
            <w:tcW w:w="12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E51CEF6" w14:textId="77777777" w:rsidR="0024797B" w:rsidRPr="00A2273B" w:rsidRDefault="0024797B" w:rsidP="00B937DA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567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012612F7" w14:textId="273202D2" w:rsidR="0024797B" w:rsidRPr="00A2273B" w:rsidRDefault="003B64C5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Поняття про ділову, партнерську комунікацію</w:t>
            </w:r>
          </w:p>
        </w:tc>
        <w:tc>
          <w:tcPr>
            <w:tcW w:w="170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</w:tcPr>
          <w:p w14:paraId="48629C9A" w14:textId="77777777" w:rsidR="0024797B" w:rsidRPr="00A2273B" w:rsidRDefault="00C41F9A" w:rsidP="00B133C3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311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0BE84877" w14:textId="545B10F7" w:rsidR="0024797B" w:rsidRPr="00A2273B" w:rsidRDefault="00B133C3" w:rsidP="00B133C3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B133C3">
              <w:rPr>
                <w:sz w:val="24"/>
                <w:szCs w:val="24"/>
                <w:lang w:val="uk-UA"/>
              </w:rPr>
              <w:t xml:space="preserve">ізновиди </w:t>
            </w:r>
            <w:r>
              <w:rPr>
                <w:sz w:val="24"/>
                <w:szCs w:val="24"/>
                <w:lang w:val="uk-UA"/>
              </w:rPr>
              <w:t>ділової комунікації</w:t>
            </w:r>
            <w:r w:rsidRPr="00B133C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:</w:t>
            </w:r>
            <w:r w:rsidRPr="00B133C3">
              <w:rPr>
                <w:sz w:val="24"/>
                <w:szCs w:val="24"/>
                <w:lang w:val="uk-UA"/>
              </w:rPr>
              <w:t xml:space="preserve"> пу</w:t>
            </w:r>
            <w:r>
              <w:rPr>
                <w:sz w:val="24"/>
                <w:szCs w:val="24"/>
                <w:lang w:val="uk-UA"/>
              </w:rPr>
              <w:t xml:space="preserve">блічні виступи, ділові </w:t>
            </w:r>
            <w:r w:rsidRPr="00B133C3">
              <w:rPr>
                <w:sz w:val="24"/>
                <w:szCs w:val="24"/>
                <w:lang w:val="uk-UA"/>
              </w:rPr>
              <w:t>наради, переговори, презентації тощо);</w:t>
            </w:r>
          </w:p>
        </w:tc>
        <w:tc>
          <w:tcPr>
            <w:tcW w:w="567" w:type="dxa"/>
            <w:vMerge w:val="restart"/>
            <w:tcBorders>
              <w:left w:val="single" w:sz="24" w:space="0" w:color="FFFFFF"/>
              <w:right w:val="single" w:sz="18" w:space="0" w:color="FFFFFF" w:themeColor="background1"/>
            </w:tcBorders>
            <w:shd w:val="clear" w:color="auto" w:fill="DDD9C3"/>
            <w:textDirection w:val="btLr"/>
            <w:vAlign w:val="center"/>
          </w:tcPr>
          <w:p w14:paraId="3E0F13AB" w14:textId="77777777" w:rsidR="0024797B" w:rsidRPr="00A2273B" w:rsidRDefault="0024797B" w:rsidP="0024797B">
            <w:pPr>
              <w:spacing w:after="0" w:line="204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969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BE5F1"/>
            <w:vAlign w:val="center"/>
          </w:tcPr>
          <w:p w14:paraId="6A5D9E60" w14:textId="570D31FE" w:rsidR="00220FCB" w:rsidRPr="00220FCB" w:rsidRDefault="00220FCB" w:rsidP="00220FCB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220FCB">
              <w:rPr>
                <w:sz w:val="24"/>
                <w:szCs w:val="24"/>
                <w:lang w:val="uk-UA"/>
              </w:rPr>
              <w:t xml:space="preserve">Функційні особливості та </w:t>
            </w:r>
            <w:r>
              <w:rPr>
                <w:sz w:val="24"/>
                <w:szCs w:val="24"/>
                <w:lang w:val="uk-UA"/>
              </w:rPr>
              <w:t>структура Мілтон-</w:t>
            </w:r>
            <w:r w:rsidRPr="00220FCB">
              <w:rPr>
                <w:sz w:val="24"/>
                <w:szCs w:val="24"/>
                <w:lang w:val="uk-UA"/>
              </w:rPr>
              <w:t xml:space="preserve">моделі. </w:t>
            </w:r>
          </w:p>
          <w:p w14:paraId="56183385" w14:textId="66AFD0AB" w:rsidR="0024797B" w:rsidRPr="00220FCB" w:rsidRDefault="0024797B" w:rsidP="00220FCB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</w:tr>
      <w:tr w:rsidR="00063F53" w:rsidRPr="00A2273B" w14:paraId="0EF67854" w14:textId="77777777" w:rsidTr="00B133C3">
        <w:trPr>
          <w:trHeight w:val="388"/>
        </w:trPr>
        <w:tc>
          <w:tcPr>
            <w:tcW w:w="12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5DA1C4E1" w14:textId="77777777" w:rsidR="0024797B" w:rsidRPr="00A2273B" w:rsidRDefault="0024797B" w:rsidP="00443A4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567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1551AFB5" w14:textId="7C65BEB2" w:rsidR="0024797B" w:rsidRPr="00A2273B" w:rsidRDefault="003B64C5" w:rsidP="00462C46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Ефективна комунікація як наука про мовний вплив та маніпулювання</w:t>
            </w:r>
            <w:r w:rsidR="00604849" w:rsidRPr="00A2273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</w:tcPr>
          <w:p w14:paraId="6D8763AC" w14:textId="77777777" w:rsidR="002117BE" w:rsidRPr="00A2273B" w:rsidRDefault="00C41F9A" w:rsidP="00B133C3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2</w:t>
            </w:r>
          </w:p>
        </w:tc>
        <w:tc>
          <w:tcPr>
            <w:tcW w:w="311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DBE5F1"/>
          </w:tcPr>
          <w:p w14:paraId="2088FDC4" w14:textId="0F2AE2D9" w:rsidR="0024797B" w:rsidRPr="00A2273B" w:rsidRDefault="000943E4" w:rsidP="000943E4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0943E4">
              <w:rPr>
                <w:sz w:val="24"/>
                <w:szCs w:val="24"/>
                <w:lang w:val="uk-UA"/>
              </w:rPr>
              <w:t>равила та</w:t>
            </w:r>
            <w:r>
              <w:rPr>
                <w:sz w:val="24"/>
                <w:szCs w:val="24"/>
                <w:lang w:val="uk-UA"/>
              </w:rPr>
              <w:t xml:space="preserve"> помилки в діловій комунікації</w:t>
            </w:r>
          </w:p>
        </w:tc>
        <w:tc>
          <w:tcPr>
            <w:tcW w:w="567" w:type="dxa"/>
            <w:vMerge/>
          </w:tcPr>
          <w:p w14:paraId="02EB378F" w14:textId="77777777" w:rsidR="0024797B" w:rsidRPr="00A2273B" w:rsidRDefault="0024797B" w:rsidP="00443A4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8" w:space="0" w:color="FFFFFF" w:themeColor="background1"/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11B332EF" w14:textId="00D80537" w:rsidR="0024797B" w:rsidRPr="00220FCB" w:rsidRDefault="00220FCB" w:rsidP="00220FCB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220FCB">
              <w:rPr>
                <w:sz w:val="24"/>
                <w:szCs w:val="24"/>
                <w:lang w:val="uk-UA"/>
              </w:rPr>
              <w:t>Поняття про гіпноз</w:t>
            </w:r>
          </w:p>
        </w:tc>
      </w:tr>
      <w:tr w:rsidR="00AA4957" w:rsidRPr="00A2273B" w14:paraId="5AE835FA" w14:textId="77777777" w:rsidTr="00B133C3">
        <w:trPr>
          <w:trHeight w:val="388"/>
        </w:trPr>
        <w:tc>
          <w:tcPr>
            <w:tcW w:w="12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08972355" w14:textId="77777777" w:rsidR="00AA4957" w:rsidRPr="00A2273B" w:rsidRDefault="00AA4957" w:rsidP="00AA495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567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33CBFFBC" w14:textId="29F66278" w:rsidR="00AA4957" w:rsidRPr="00A2273B" w:rsidRDefault="003B64C5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Невербальні та вербальні канали професійної комунікації</w:t>
            </w:r>
          </w:p>
        </w:tc>
        <w:tc>
          <w:tcPr>
            <w:tcW w:w="170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</w:tcPr>
          <w:p w14:paraId="079F42BF" w14:textId="77777777" w:rsidR="00AA4957" w:rsidRPr="00A2273B" w:rsidRDefault="00AA4957" w:rsidP="00B133C3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311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DBE5F1"/>
          </w:tcPr>
          <w:p w14:paraId="650EC60B" w14:textId="2C9DCA47" w:rsidR="00AA4957" w:rsidRPr="00CA0061" w:rsidRDefault="00CA0061" w:rsidP="00AA4957">
            <w:pPr>
              <w:spacing w:after="0" w:line="192" w:lineRule="auto"/>
              <w:rPr>
                <w:sz w:val="24"/>
                <w:szCs w:val="24"/>
                <w:lang w:val="uk-UA"/>
              </w:rPr>
            </w:pPr>
            <w:r w:rsidRPr="00CA0061">
              <w:rPr>
                <w:sz w:val="24"/>
                <w:szCs w:val="24"/>
                <w:lang w:val="uk-UA"/>
              </w:rPr>
              <w:t>Ділова бесіда: фази</w:t>
            </w:r>
            <w:r w:rsidR="00220FCB" w:rsidRPr="00CA0061">
              <w:rPr>
                <w:sz w:val="24"/>
                <w:szCs w:val="24"/>
                <w:lang w:val="uk-UA"/>
              </w:rPr>
              <w:t>, цілі, драми спілкування, методи</w:t>
            </w:r>
          </w:p>
        </w:tc>
        <w:tc>
          <w:tcPr>
            <w:tcW w:w="567" w:type="dxa"/>
            <w:vMerge/>
          </w:tcPr>
          <w:p w14:paraId="6A05A809" w14:textId="77777777" w:rsidR="00AA4957" w:rsidRPr="00A2273B" w:rsidRDefault="00AA4957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49F2664A" w14:textId="6FF41C54" w:rsidR="00AA4957" w:rsidRPr="00220FCB" w:rsidRDefault="00220FCB" w:rsidP="00AA495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220FCB">
              <w:rPr>
                <w:sz w:val="24"/>
                <w:szCs w:val="24"/>
              </w:rPr>
              <w:t>Основні поняття сугестивної лінгвістики. Постулати сугестивної лінвістики.</w:t>
            </w:r>
          </w:p>
        </w:tc>
      </w:tr>
      <w:tr w:rsidR="003B64C5" w:rsidRPr="00A2273B" w14:paraId="2BEC1AC7" w14:textId="77777777" w:rsidTr="00B133C3">
        <w:trPr>
          <w:trHeight w:val="388"/>
        </w:trPr>
        <w:tc>
          <w:tcPr>
            <w:tcW w:w="12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62012E62" w14:textId="77777777" w:rsidR="003B64C5" w:rsidRPr="00A2273B" w:rsidRDefault="003B64C5" w:rsidP="003B64C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567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7A248861" w14:textId="279DAA9D" w:rsidR="003B64C5" w:rsidRPr="00A2273B" w:rsidRDefault="003B64C5" w:rsidP="003B64C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Ефективне слухання в професійній комунікації</w:t>
            </w:r>
          </w:p>
        </w:tc>
        <w:tc>
          <w:tcPr>
            <w:tcW w:w="170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</w:tcPr>
          <w:p w14:paraId="33B2667D" w14:textId="77777777" w:rsidR="003B64C5" w:rsidRPr="00A2273B" w:rsidRDefault="003B64C5" w:rsidP="00B133C3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4</w:t>
            </w:r>
          </w:p>
        </w:tc>
        <w:tc>
          <w:tcPr>
            <w:tcW w:w="311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DBE5F1"/>
          </w:tcPr>
          <w:p w14:paraId="3427818F" w14:textId="4A35977F" w:rsidR="003B64C5" w:rsidRPr="00CA0061" w:rsidRDefault="00220FCB" w:rsidP="000943E4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CA0061">
              <w:rPr>
                <w:sz w:val="24"/>
                <w:szCs w:val="24"/>
                <w:lang w:val="uk-UA"/>
              </w:rPr>
              <w:t>Технології підготовки аргументативних текстів.</w:t>
            </w:r>
          </w:p>
        </w:tc>
        <w:tc>
          <w:tcPr>
            <w:tcW w:w="567" w:type="dxa"/>
            <w:vMerge/>
          </w:tcPr>
          <w:p w14:paraId="5A39BBE3" w14:textId="77777777" w:rsidR="003B64C5" w:rsidRPr="00A2273B" w:rsidRDefault="003B64C5" w:rsidP="003B64C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31ADC87D" w14:textId="0BB70672" w:rsidR="00220FCB" w:rsidRPr="00220FCB" w:rsidRDefault="00220FCB" w:rsidP="00220FCB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220FCB">
              <w:rPr>
                <w:sz w:val="24"/>
                <w:szCs w:val="24"/>
                <w:lang w:val="uk-UA"/>
              </w:rPr>
              <w:t xml:space="preserve">Поняття про сугестивний текст. </w:t>
            </w:r>
          </w:p>
          <w:p w14:paraId="60A6366B" w14:textId="077F091A" w:rsidR="003B64C5" w:rsidRPr="00220FCB" w:rsidRDefault="00220FCB" w:rsidP="00220FCB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220FCB">
              <w:rPr>
                <w:sz w:val="24"/>
                <w:szCs w:val="24"/>
                <w:lang w:val="uk-UA"/>
              </w:rPr>
              <w:t>Поняття про патогенний текст.</w:t>
            </w:r>
          </w:p>
        </w:tc>
      </w:tr>
      <w:tr w:rsidR="003B64C5" w:rsidRPr="00A2273B" w14:paraId="5BC124DA" w14:textId="77777777" w:rsidTr="00B133C3">
        <w:trPr>
          <w:trHeight w:val="531"/>
        </w:trPr>
        <w:tc>
          <w:tcPr>
            <w:tcW w:w="12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2A77E6F8" w14:textId="77777777" w:rsidR="003B64C5" w:rsidRPr="00A2273B" w:rsidRDefault="003B64C5" w:rsidP="003B64C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567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1D39996E" w14:textId="59E67285" w:rsidR="003B64C5" w:rsidRPr="00A2273B" w:rsidRDefault="003B64C5" w:rsidP="003B64C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 та прийоми впливу на аудиторію та співрозмовника в професійній комунікації</w:t>
            </w:r>
          </w:p>
        </w:tc>
        <w:tc>
          <w:tcPr>
            <w:tcW w:w="170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</w:tcPr>
          <w:p w14:paraId="6182F6A0" w14:textId="77777777" w:rsidR="003B64C5" w:rsidRPr="00A2273B" w:rsidRDefault="003B64C5" w:rsidP="00B133C3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311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18" w:space="0" w:color="FFFFFF" w:themeColor="background1"/>
            </w:tcBorders>
            <w:shd w:val="clear" w:color="auto" w:fill="D9E2F3" w:themeFill="accent1" w:themeFillTint="33"/>
          </w:tcPr>
          <w:p w14:paraId="3AA904E9" w14:textId="77777777" w:rsidR="00354C05" w:rsidRPr="00CA0061" w:rsidRDefault="00354C05" w:rsidP="00354C0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CA0061">
              <w:rPr>
                <w:sz w:val="24"/>
                <w:szCs w:val="24"/>
                <w:lang w:val="uk-UA"/>
              </w:rPr>
              <w:t xml:space="preserve">Природа й особливості комунікативного і мовленнєвого впливу, його структура та складники; </w:t>
            </w:r>
          </w:p>
          <w:p w14:paraId="608C14E5" w14:textId="012E24A2" w:rsidR="003B64C5" w:rsidRPr="00CA0061" w:rsidRDefault="00354C05" w:rsidP="00354C0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CA0061">
              <w:rPr>
                <w:sz w:val="24"/>
                <w:szCs w:val="24"/>
                <w:lang w:val="uk-UA"/>
              </w:rPr>
              <w:t>нейрофізіологічні, психологічні та лінгвістичні основи. Метапрограми.</w:t>
            </w:r>
          </w:p>
        </w:tc>
        <w:tc>
          <w:tcPr>
            <w:tcW w:w="567" w:type="dxa"/>
            <w:vMerge/>
          </w:tcPr>
          <w:p w14:paraId="41C8F396" w14:textId="77777777" w:rsidR="003B64C5" w:rsidRPr="00A2273B" w:rsidRDefault="003B64C5" w:rsidP="003B64C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08209070" w14:textId="1C8CBA50" w:rsidR="003B64C5" w:rsidRPr="00220FCB" w:rsidRDefault="00220FCB" w:rsidP="003B64C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220FCB">
              <w:rPr>
                <w:sz w:val="24"/>
                <w:szCs w:val="24"/>
                <w:lang w:val="uk-UA"/>
              </w:rPr>
              <w:t xml:space="preserve">Лінгвістичні рівні впливу. Екстралінгвальні фактори впливу. </w:t>
            </w:r>
            <w:r w:rsidRPr="00220FCB">
              <w:rPr>
                <w:sz w:val="24"/>
                <w:szCs w:val="24"/>
              </w:rPr>
              <w:t>Сугестогенні дискурси</w:t>
            </w:r>
          </w:p>
        </w:tc>
      </w:tr>
      <w:tr w:rsidR="003B64C5" w:rsidRPr="00A2273B" w14:paraId="4D6EF5CC" w14:textId="77777777" w:rsidTr="00B133C3">
        <w:trPr>
          <w:trHeight w:val="388"/>
        </w:trPr>
        <w:tc>
          <w:tcPr>
            <w:tcW w:w="12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/>
          </w:tcPr>
          <w:p w14:paraId="3CEC27F8" w14:textId="77777777" w:rsidR="003B64C5" w:rsidRPr="00A2273B" w:rsidRDefault="003B64C5" w:rsidP="003B64C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567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</w:tcPr>
          <w:p w14:paraId="28BF72F9" w14:textId="2A64E1AD" w:rsidR="003B64C5" w:rsidRPr="00A2273B" w:rsidRDefault="00220FCB" w:rsidP="003B64C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Технології та прийоми </w:t>
            </w:r>
            <w:r w:rsidRPr="003B64C5">
              <w:rPr>
                <w:sz w:val="24"/>
                <w:szCs w:val="24"/>
                <w:lang w:val="uk-UA"/>
              </w:rPr>
              <w:t>протистояння ма</w:t>
            </w:r>
            <w:r>
              <w:rPr>
                <w:sz w:val="24"/>
                <w:szCs w:val="24"/>
                <w:lang w:val="uk-UA"/>
              </w:rPr>
              <w:t xml:space="preserve">ніпулятивним технікам у діловій </w:t>
            </w:r>
            <w:r w:rsidRPr="003B64C5">
              <w:rPr>
                <w:sz w:val="24"/>
                <w:szCs w:val="24"/>
                <w:lang w:val="uk-UA"/>
              </w:rPr>
              <w:t>комунікації</w:t>
            </w:r>
          </w:p>
        </w:tc>
        <w:tc>
          <w:tcPr>
            <w:tcW w:w="170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</w:tcPr>
          <w:p w14:paraId="72A3D3EC" w14:textId="09D31D03" w:rsidR="003B64C5" w:rsidRPr="00A2273B" w:rsidRDefault="00B133C3" w:rsidP="00B133C3">
            <w:pPr>
              <w:spacing w:after="0" w:line="204" w:lineRule="auto"/>
              <w:rPr>
                <w:b/>
                <w:sz w:val="24"/>
                <w:szCs w:val="24"/>
                <w:lang w:val="uk-UA"/>
              </w:rPr>
            </w:pPr>
            <w:r w:rsidRPr="00B133C3">
              <w:rPr>
                <w:b/>
                <w:sz w:val="24"/>
                <w:szCs w:val="24"/>
                <w:lang w:val="uk-UA"/>
              </w:rPr>
              <w:t>Практичне заняття</w:t>
            </w:r>
            <w:r>
              <w:rPr>
                <w:b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311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9E2F3" w:themeFill="accent1" w:themeFillTint="33"/>
          </w:tcPr>
          <w:p w14:paraId="0D0B940D" w14:textId="4B61935D" w:rsidR="003B64C5" w:rsidRPr="00CA0061" w:rsidRDefault="00220FCB" w:rsidP="003B64C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CA0061">
              <w:rPr>
                <w:sz w:val="24"/>
                <w:szCs w:val="24"/>
                <w:lang w:val="uk-UA"/>
              </w:rPr>
              <w:t>Прийоми вливу та протистояння маніпулятивним технікам у діловій комунікації: практика</w:t>
            </w:r>
          </w:p>
        </w:tc>
        <w:tc>
          <w:tcPr>
            <w:tcW w:w="567" w:type="dxa"/>
            <w:vMerge/>
          </w:tcPr>
          <w:p w14:paraId="0E27B00A" w14:textId="77777777" w:rsidR="003B64C5" w:rsidRPr="00A2273B" w:rsidRDefault="003B64C5" w:rsidP="003B64C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left w:val="single" w:sz="18" w:space="0" w:color="FFFFFF" w:themeColor="background1"/>
            </w:tcBorders>
            <w:shd w:val="clear" w:color="auto" w:fill="DBE5F1"/>
            <w:vAlign w:val="center"/>
          </w:tcPr>
          <w:p w14:paraId="09487C40" w14:textId="3269ABAA" w:rsidR="003B64C5" w:rsidRPr="00A2273B" w:rsidRDefault="00220FCB" w:rsidP="003B64C5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Комунікація як інструмент побудови репутації</w:t>
            </w:r>
          </w:p>
        </w:tc>
      </w:tr>
    </w:tbl>
    <w:p w14:paraId="050463A8" w14:textId="146FE406" w:rsidR="00E23579" w:rsidRDefault="00E23579"/>
    <w:p w14:paraId="238B724E" w14:textId="37ACCFB0" w:rsidR="00E23579" w:rsidRDefault="00E23579"/>
    <w:p w14:paraId="7BA852FF" w14:textId="03850C75" w:rsidR="00E23579" w:rsidRDefault="00E23579"/>
    <w:p w14:paraId="223B95E2" w14:textId="77777777" w:rsidR="00E23579" w:rsidRDefault="00E23579"/>
    <w:tbl>
      <w:tblPr>
        <w:tblW w:w="16302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2835"/>
        <w:gridCol w:w="1701"/>
        <w:gridCol w:w="3686"/>
        <w:gridCol w:w="567"/>
        <w:gridCol w:w="425"/>
        <w:gridCol w:w="425"/>
        <w:gridCol w:w="5812"/>
      </w:tblGrid>
      <w:tr w:rsidR="003B64C5" w:rsidRPr="00A2273B" w14:paraId="09F59D21" w14:textId="77777777" w:rsidTr="15989308">
        <w:trPr>
          <w:trHeight w:val="388"/>
        </w:trPr>
        <w:tc>
          <w:tcPr>
            <w:tcW w:w="16302" w:type="dxa"/>
            <w:gridSpan w:val="9"/>
            <w:shd w:val="clear" w:color="auto" w:fill="D9D9D9" w:themeFill="background1" w:themeFillShade="D9"/>
            <w:vAlign w:val="center"/>
          </w:tcPr>
          <w:p w14:paraId="14E735B7" w14:textId="77777777" w:rsidR="00E23579" w:rsidRDefault="00E23579" w:rsidP="003B64C5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</w:pPr>
          </w:p>
          <w:p w14:paraId="71188C83" w14:textId="1609E6C8" w:rsidR="003B64C5" w:rsidRPr="00A2273B" w:rsidRDefault="003B64C5" w:rsidP="003B64C5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ЛІТЕРАТУРА  ТА  НАВЧАЛЬНІ  МАТЕРІАЛИ</w:t>
            </w:r>
          </w:p>
        </w:tc>
      </w:tr>
      <w:tr w:rsidR="003B64C5" w:rsidRPr="00725E94" w14:paraId="3491C18E" w14:textId="77777777" w:rsidTr="15989308">
        <w:trPr>
          <w:cantSplit/>
          <w:trHeight w:val="2638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14:paraId="4B62038A" w14:textId="77777777" w:rsidR="003B64C5" w:rsidRPr="00A2273B" w:rsidRDefault="003B64C5" w:rsidP="003B64C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9639" w:type="dxa"/>
            <w:gridSpan w:val="6"/>
            <w:tcBorders>
              <w:right w:val="single" w:sz="18" w:space="0" w:color="FFFFFF" w:themeColor="background1"/>
            </w:tcBorders>
            <w:shd w:val="clear" w:color="auto" w:fill="DBE5F1"/>
          </w:tcPr>
          <w:p w14:paraId="5EE27241" w14:textId="77777777" w:rsidR="003B64C5" w:rsidRDefault="00D55B63" w:rsidP="00BF30BA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D55B63">
              <w:rPr>
                <w:sz w:val="24"/>
                <w:szCs w:val="24"/>
                <w:lang w:val="uk-UA"/>
              </w:rPr>
              <w:t>Акульшин О.В., Заруба О.Г., Компанцева Л.Ф., Кудінов С.С., Слухай Н.В. Гібридна війна: технології сугестії та контрсугестії: монографія. К., 2018.</w:t>
            </w:r>
          </w:p>
          <w:p w14:paraId="416BFCA1" w14:textId="77777777" w:rsidR="00BF30BA" w:rsidRDefault="00BF30BA" w:rsidP="00BF30BA">
            <w:pPr>
              <w:tabs>
                <w:tab w:val="left" w:pos="0"/>
                <w:tab w:val="left" w:pos="175"/>
              </w:tabs>
              <w:spacing w:after="0" w:line="192" w:lineRule="auto"/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>
              <w:t>Дружинець М.Л. Українське усне мовлення: психо- та соціофонетичний аспекти. Одеса, 2019.</w:t>
            </w:r>
          </w:p>
          <w:p w14:paraId="3C1A0DC7" w14:textId="6685ACB9" w:rsidR="00BF30BA" w:rsidRDefault="00BF30BA" w:rsidP="00BF30BA">
            <w:pPr>
              <w:tabs>
                <w:tab w:val="left" w:pos="0"/>
                <w:tab w:val="left" w:pos="175"/>
              </w:tabs>
              <w:spacing w:after="0" w:line="192" w:lineRule="auto"/>
            </w:pPr>
            <w:r>
              <w:rPr>
                <w:lang w:val="uk-UA"/>
              </w:rPr>
              <w:t xml:space="preserve">3. </w:t>
            </w:r>
            <w:r>
              <w:t xml:space="preserve">Зернецька О., Зернецький П. PR – маніпуляційний вплив. Комунікативна теорія і практика. [Електронний ресурс] . Режим доступу: </w:t>
            </w:r>
            <w:hyperlink r:id="rId7" w:history="1">
              <w:r w:rsidRPr="00F270FE">
                <w:rPr>
                  <w:rStyle w:val="aa"/>
                </w:rPr>
                <w:t>http://www.politik.org.ua</w:t>
              </w:r>
            </w:hyperlink>
          </w:p>
          <w:p w14:paraId="1B44755C" w14:textId="017B83B6" w:rsidR="00BF30BA" w:rsidRPr="00CA0061" w:rsidRDefault="00BF30BA" w:rsidP="00BF30BA">
            <w:pPr>
              <w:tabs>
                <w:tab w:val="left" w:pos="0"/>
                <w:tab w:val="left" w:pos="175"/>
              </w:tabs>
              <w:spacing w:after="0" w:line="192" w:lineRule="auto"/>
            </w:pPr>
            <w:r>
              <w:rPr>
                <w:lang w:val="uk-UA"/>
              </w:rPr>
              <w:t xml:space="preserve">4. </w:t>
            </w:r>
            <w:r>
              <w:t>П</w:t>
            </w:r>
            <w:r w:rsidR="00CA0061">
              <w:rPr>
                <w:lang w:val="uk-UA"/>
              </w:rPr>
              <w:t>і</w:t>
            </w:r>
            <w:r w:rsidR="00CA0061">
              <w:t>з А.</w:t>
            </w:r>
            <w:r w:rsidR="00CA0061">
              <w:rPr>
                <w:lang w:val="uk-UA"/>
              </w:rPr>
              <w:t>, Піз Б. Мова рухів тіла</w:t>
            </w:r>
            <w:r w:rsidR="00CA0061">
              <w:t>.</w:t>
            </w:r>
            <w:r w:rsidR="00CA0061">
              <w:rPr>
                <w:lang w:val="uk-UA"/>
              </w:rPr>
              <w:t xml:space="preserve"> / А. Піз, Б. Піз // К: КМ-БУКС</w:t>
            </w:r>
            <w:r w:rsidR="00CA0061">
              <w:t>, 2021</w:t>
            </w:r>
            <w:r w:rsidR="00CA0061">
              <w:rPr>
                <w:lang w:val="uk-UA"/>
              </w:rPr>
              <w:t>, 416 с.</w:t>
            </w:r>
            <w:r w:rsidRPr="00CA0061">
              <w:t>.</w:t>
            </w:r>
          </w:p>
          <w:p w14:paraId="40A8B0AE" w14:textId="4BD7EE0B" w:rsidR="00CA0061" w:rsidRPr="00CA0061" w:rsidRDefault="00BF30BA" w:rsidP="00CA0061">
            <w:pPr>
              <w:tabs>
                <w:tab w:val="left" w:pos="0"/>
                <w:tab w:val="left" w:pos="175"/>
              </w:tabs>
              <w:spacing w:after="0" w:line="192" w:lineRule="auto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CA0061" w:rsidRPr="00CA0061">
              <w:rPr>
                <w:lang w:val="uk-UA"/>
              </w:rPr>
              <w:t>Роберт Чалдини</w:t>
            </w:r>
            <w:r w:rsidR="00CA0061">
              <w:rPr>
                <w:lang w:val="uk-UA"/>
              </w:rPr>
              <w:t>. Психологія впливу./</w:t>
            </w:r>
            <w:r w:rsidR="00CA0061" w:rsidRPr="00CA0061">
              <w:rPr>
                <w:lang w:val="uk-UA"/>
              </w:rPr>
              <w:t xml:space="preserve"> Роберт Чалдини</w:t>
            </w:r>
            <w:r w:rsidR="00CA0061">
              <w:rPr>
                <w:lang w:val="uk-UA"/>
              </w:rPr>
              <w:t xml:space="preserve"> // К.: Книжковий клуб «Сімейного дозвілля», 2017, 352 с.</w:t>
            </w:r>
          </w:p>
          <w:p w14:paraId="228ED017" w14:textId="77777777" w:rsidR="00CA0061" w:rsidRPr="00CA0061" w:rsidRDefault="00CA0061" w:rsidP="00CA0061">
            <w:pPr>
              <w:tabs>
                <w:tab w:val="left" w:pos="0"/>
                <w:tab w:val="left" w:pos="175"/>
              </w:tabs>
              <w:spacing w:after="0" w:line="192" w:lineRule="auto"/>
              <w:rPr>
                <w:lang w:val="uk-UA"/>
              </w:rPr>
            </w:pPr>
          </w:p>
          <w:p w14:paraId="61E398FC" w14:textId="176DC63C" w:rsidR="00BF30BA" w:rsidRPr="00BF30BA" w:rsidRDefault="00BF30BA" w:rsidP="00CA0061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DD9C3"/>
            <w:textDirection w:val="btLr"/>
            <w:vAlign w:val="center"/>
          </w:tcPr>
          <w:p w14:paraId="60061E4C" w14:textId="77777777" w:rsidR="003B64C5" w:rsidRPr="00A2273B" w:rsidRDefault="003B64C5" w:rsidP="003B64C5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tcBorders>
              <w:left w:val="single" w:sz="18" w:space="0" w:color="FFFFFF" w:themeColor="background1"/>
            </w:tcBorders>
            <w:shd w:val="clear" w:color="auto" w:fill="D9E2F3" w:themeFill="accent1" w:themeFillTint="33"/>
          </w:tcPr>
          <w:p w14:paraId="16CAD4B6" w14:textId="20AE2DC3" w:rsidR="003B64C5" w:rsidRDefault="002F6864" w:rsidP="002F6864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2F6864">
              <w:rPr>
                <w:lang w:val="uk-UA"/>
              </w:rPr>
              <w:t>Ch</w:t>
            </w:r>
            <w:r w:rsidR="00CA0061">
              <w:rPr>
                <w:lang w:val="uk-UA"/>
              </w:rPr>
              <w:t>arney, T., Greenberg, B.S., 2018</w:t>
            </w:r>
            <w:r w:rsidRPr="002F6864">
              <w:rPr>
                <w:lang w:val="uk-UA"/>
              </w:rPr>
              <w:t>. Uses and gratifications of the Internet. In: Lin, C.A., Atkin, D. (Eds.), Communication Technology and Society: Audience Adoption and Uses.</w:t>
            </w:r>
            <w:r w:rsidR="00236A83">
              <w:rPr>
                <w:lang w:val="uk-UA"/>
              </w:rPr>
              <w:t xml:space="preserve"> Hampton, Cresskill, NJ, pp. </w:t>
            </w:r>
            <w:r w:rsidRPr="002F6864">
              <w:rPr>
                <w:lang w:val="uk-UA"/>
              </w:rPr>
              <w:t>408.</w:t>
            </w:r>
          </w:p>
          <w:p w14:paraId="2BCB4387" w14:textId="5A13C8DE" w:rsidR="002F6864" w:rsidRDefault="002F6864" w:rsidP="002F6864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9C5438">
              <w:rPr>
                <w:lang w:val="uk-UA"/>
              </w:rPr>
              <w:t>Flanagin, A., Metzger, M., 2020</w:t>
            </w:r>
            <w:r w:rsidRPr="002F6864">
              <w:rPr>
                <w:lang w:val="uk-UA"/>
              </w:rPr>
              <w:t>. Internet use in the contemporary media environment. Human</w:t>
            </w:r>
            <w:r w:rsidR="00236A83">
              <w:rPr>
                <w:lang w:val="uk-UA"/>
              </w:rPr>
              <w:t xml:space="preserve"> Communication Research 27, </w:t>
            </w:r>
            <w:r w:rsidRPr="002F6864">
              <w:rPr>
                <w:lang w:val="uk-UA"/>
              </w:rPr>
              <w:t>181.</w:t>
            </w:r>
          </w:p>
          <w:p w14:paraId="236DC891" w14:textId="2BF2A9ED" w:rsidR="002F6864" w:rsidRPr="00CA0061" w:rsidRDefault="002F6864" w:rsidP="002F6864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3. </w:t>
            </w:r>
            <w:r w:rsidRPr="002F6864">
              <w:rPr>
                <w:lang w:val="uk-UA"/>
              </w:rPr>
              <w:t>Robert B. Cialdini</w:t>
            </w:r>
            <w:r>
              <w:rPr>
                <w:lang w:val="en-US"/>
              </w:rPr>
              <w:t xml:space="preserve"> </w:t>
            </w:r>
            <w:r w:rsidRPr="002F6864">
              <w:rPr>
                <w:lang w:val="uk-UA"/>
              </w:rPr>
              <w:t>Influence: The Psychology of Persuasion</w:t>
            </w:r>
            <w:r>
              <w:rPr>
                <w:lang w:val="uk-UA"/>
              </w:rPr>
              <w:t xml:space="preserve">. </w:t>
            </w:r>
            <w:r w:rsidRPr="002F6864">
              <w:rPr>
                <w:lang w:val="uk-UA"/>
              </w:rPr>
              <w:t>Revised Edition</w:t>
            </w:r>
            <w:r>
              <w:rPr>
                <w:lang w:val="uk-UA"/>
              </w:rPr>
              <w:t>.</w:t>
            </w:r>
            <w:r w:rsidR="00CA0061">
              <w:rPr>
                <w:lang w:val="en-US"/>
              </w:rPr>
              <w:t xml:space="preserve"> 2021</w:t>
            </w:r>
            <w:r w:rsidRPr="00CA0061">
              <w:rPr>
                <w:lang w:val="en-US"/>
              </w:rPr>
              <w:t>.</w:t>
            </w:r>
          </w:p>
          <w:p w14:paraId="729EBEA1" w14:textId="39B63396" w:rsidR="002F6864" w:rsidRPr="002F6864" w:rsidRDefault="0052699A" w:rsidP="00CA0061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Allan Pease, Barbara Pease </w:t>
            </w:r>
            <w:r w:rsidRPr="0052699A">
              <w:rPr>
                <w:lang w:val="uk-UA"/>
              </w:rPr>
              <w:t xml:space="preserve">The Definitive Book of Body Language: The Hidden Meaning Behind People's Gestures and Expressions </w:t>
            </w:r>
            <w:r>
              <w:rPr>
                <w:lang w:val="uk-UA"/>
              </w:rPr>
              <w:t>Hardcover</w:t>
            </w:r>
            <w:r w:rsidR="00CA0061">
              <w:rPr>
                <w:lang w:val="uk-UA"/>
              </w:rPr>
              <w:t>.</w:t>
            </w:r>
          </w:p>
        </w:tc>
      </w:tr>
      <w:tr w:rsidR="003B64C5" w:rsidRPr="00A2273B" w14:paraId="685A3E1A" w14:textId="77777777" w:rsidTr="15989308">
        <w:trPr>
          <w:cantSplit/>
          <w:trHeight w:val="429"/>
        </w:trPr>
        <w:tc>
          <w:tcPr>
            <w:tcW w:w="16302" w:type="dxa"/>
            <w:gridSpan w:val="9"/>
            <w:shd w:val="clear" w:color="auto" w:fill="D9D9D9" w:themeFill="background1" w:themeFillShade="D9"/>
            <w:vAlign w:val="center"/>
          </w:tcPr>
          <w:p w14:paraId="52FBE5B8" w14:textId="77777777" w:rsidR="003B64C5" w:rsidRPr="00A2273B" w:rsidRDefault="003B64C5" w:rsidP="003B64C5">
            <w:pPr>
              <w:tabs>
                <w:tab w:val="left" w:pos="-108"/>
                <w:tab w:val="left" w:pos="175"/>
              </w:tabs>
              <w:spacing w:after="0" w:line="204" w:lineRule="auto"/>
              <w:jc w:val="center"/>
              <w:rPr>
                <w:spacing w:val="-6"/>
                <w:sz w:val="20"/>
                <w:szCs w:val="20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ПЕРЕЛІК  ЗАПИТАНЬ  ДЛЯ  ПІДГОТОВКИ  ДО  ІСПИТУ</w:t>
            </w:r>
          </w:p>
        </w:tc>
      </w:tr>
      <w:tr w:rsidR="003B64C5" w:rsidRPr="00B57449" w14:paraId="091C3FF1" w14:textId="77777777" w:rsidTr="15989308">
        <w:trPr>
          <w:cantSplit/>
          <w:trHeight w:val="502"/>
        </w:trPr>
        <w:tc>
          <w:tcPr>
            <w:tcW w:w="16302" w:type="dxa"/>
            <w:gridSpan w:val="9"/>
            <w:shd w:val="clear" w:color="auto" w:fill="DBE5F1"/>
            <w:vAlign w:val="center"/>
          </w:tcPr>
          <w:p w14:paraId="72AB66E5" w14:textId="3DD90DFC" w:rsidR="00B57449" w:rsidRPr="00B57449" w:rsidRDefault="00B57449" w:rsidP="00B57449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4"/>
                <w:szCs w:val="24"/>
                <w:lang w:val="uk-UA"/>
              </w:rPr>
            </w:pPr>
            <w:r w:rsidRPr="00B57449">
              <w:rPr>
                <w:sz w:val="24"/>
                <w:szCs w:val="24"/>
                <w:lang w:val="uk-UA"/>
              </w:rPr>
              <w:t xml:space="preserve">Поняття про </w:t>
            </w:r>
            <w:r>
              <w:rPr>
                <w:sz w:val="24"/>
                <w:szCs w:val="24"/>
                <w:lang w:val="uk-UA"/>
              </w:rPr>
              <w:t xml:space="preserve">ділову, партнерську комунікацію. </w:t>
            </w:r>
            <w:r w:rsidRPr="00B57449">
              <w:rPr>
                <w:sz w:val="24"/>
                <w:szCs w:val="24"/>
                <w:lang w:val="uk-UA"/>
              </w:rPr>
              <w:t>Ефективна комунікація як наука про</w:t>
            </w:r>
            <w:r>
              <w:rPr>
                <w:sz w:val="24"/>
                <w:szCs w:val="24"/>
                <w:lang w:val="uk-UA"/>
              </w:rPr>
              <w:t xml:space="preserve"> мовний вплив та маніпулювання. </w:t>
            </w:r>
            <w:r w:rsidRPr="00B57449">
              <w:rPr>
                <w:sz w:val="24"/>
                <w:szCs w:val="24"/>
                <w:lang w:val="uk-UA"/>
              </w:rPr>
              <w:t>Невербальні канали професійної комунікації</w:t>
            </w:r>
            <w:r>
              <w:rPr>
                <w:sz w:val="24"/>
                <w:szCs w:val="24"/>
                <w:lang w:val="uk-UA"/>
              </w:rPr>
              <w:t>. В</w:t>
            </w:r>
            <w:r w:rsidRPr="00B57449">
              <w:rPr>
                <w:sz w:val="24"/>
                <w:szCs w:val="24"/>
                <w:lang w:val="uk-UA"/>
              </w:rPr>
              <w:t>ербальні</w:t>
            </w:r>
            <w:r>
              <w:rPr>
                <w:sz w:val="24"/>
                <w:szCs w:val="24"/>
                <w:lang w:val="uk-UA"/>
              </w:rPr>
              <w:t xml:space="preserve"> канали професійної комунікації. </w:t>
            </w:r>
            <w:r w:rsidRPr="00B57449">
              <w:rPr>
                <w:sz w:val="24"/>
                <w:szCs w:val="24"/>
                <w:lang w:val="uk-UA"/>
              </w:rPr>
              <w:t>Ефективне слухання в професійній комунікації</w:t>
            </w:r>
            <w:r>
              <w:rPr>
                <w:sz w:val="24"/>
                <w:szCs w:val="24"/>
                <w:lang w:val="uk-UA"/>
              </w:rPr>
              <w:t xml:space="preserve">. Рамка ділового комунікативного контакту. Прийоми активізації уваги співрозмовника. Драми спілкування в професійній комунікації. </w:t>
            </w:r>
            <w:r w:rsidRPr="00B57449">
              <w:rPr>
                <w:sz w:val="24"/>
                <w:szCs w:val="24"/>
                <w:lang w:val="uk-UA"/>
              </w:rPr>
              <w:t>Технології та прийоми впливу на аудиторію та співрозмо</w:t>
            </w:r>
            <w:r>
              <w:rPr>
                <w:sz w:val="24"/>
                <w:szCs w:val="24"/>
                <w:lang w:val="uk-UA"/>
              </w:rPr>
              <w:t xml:space="preserve">вника в професійній комунікації. </w:t>
            </w:r>
            <w:r w:rsidRPr="00B57449">
              <w:rPr>
                <w:sz w:val="24"/>
                <w:szCs w:val="24"/>
                <w:lang w:val="uk-UA"/>
              </w:rPr>
              <w:t>Технології та прийоми протистояння маніпулятивним технікам у діловій комунікації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B57449">
              <w:rPr>
                <w:sz w:val="24"/>
                <w:szCs w:val="24"/>
                <w:lang w:val="uk-UA"/>
              </w:rPr>
              <w:t>Функційні особливості та с</w:t>
            </w:r>
            <w:r w:rsidR="000B67C6">
              <w:rPr>
                <w:sz w:val="24"/>
                <w:szCs w:val="24"/>
                <w:lang w:val="uk-UA"/>
              </w:rPr>
              <w:t xml:space="preserve">труктура Мілтон-моделі. </w:t>
            </w:r>
            <w:r w:rsidRPr="00B57449">
              <w:rPr>
                <w:sz w:val="24"/>
                <w:szCs w:val="24"/>
                <w:lang w:val="uk-UA"/>
              </w:rPr>
              <w:t>Поняття про гіпноз</w:t>
            </w:r>
            <w:r w:rsidR="000B67C6">
              <w:rPr>
                <w:sz w:val="24"/>
                <w:szCs w:val="24"/>
                <w:lang w:val="uk-UA"/>
              </w:rPr>
              <w:t xml:space="preserve">. </w:t>
            </w:r>
            <w:r w:rsidRPr="00B57449">
              <w:rPr>
                <w:sz w:val="24"/>
                <w:szCs w:val="24"/>
                <w:lang w:val="uk-UA"/>
              </w:rPr>
              <w:t>Основні поняття сугестивної лінгвістики. По</w:t>
            </w:r>
            <w:r w:rsidR="000B67C6">
              <w:rPr>
                <w:sz w:val="24"/>
                <w:szCs w:val="24"/>
                <w:lang w:val="uk-UA"/>
              </w:rPr>
              <w:t xml:space="preserve">стулати сугестивної лінвістики. </w:t>
            </w:r>
            <w:r w:rsidRPr="00B57449">
              <w:rPr>
                <w:sz w:val="24"/>
                <w:szCs w:val="24"/>
                <w:lang w:val="uk-UA"/>
              </w:rPr>
              <w:t xml:space="preserve">Поняття про сугестивний текст. </w:t>
            </w:r>
          </w:p>
          <w:p w14:paraId="6D23640D" w14:textId="254BD7C9" w:rsidR="003B64C5" w:rsidRPr="00B57449" w:rsidRDefault="000B67C6" w:rsidP="00B57449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Поняття про патогенний текст. </w:t>
            </w:r>
            <w:r w:rsidR="00B57449" w:rsidRPr="00B57449">
              <w:rPr>
                <w:sz w:val="24"/>
                <w:szCs w:val="24"/>
                <w:lang w:val="uk-UA"/>
              </w:rPr>
              <w:t>Лінгвістичні рівні впливу. Екстралінгвальні фактори впливу. Сугестогенні д</w:t>
            </w:r>
            <w:r>
              <w:rPr>
                <w:sz w:val="24"/>
                <w:szCs w:val="24"/>
                <w:lang w:val="uk-UA"/>
              </w:rPr>
              <w:t xml:space="preserve">искурси. </w:t>
            </w:r>
            <w:r w:rsidR="00B57449" w:rsidRPr="00B57449">
              <w:rPr>
                <w:sz w:val="24"/>
                <w:szCs w:val="24"/>
                <w:lang w:val="uk-UA"/>
              </w:rPr>
              <w:t>Комунікація я</w:t>
            </w:r>
            <w:r>
              <w:rPr>
                <w:sz w:val="24"/>
                <w:szCs w:val="24"/>
                <w:lang w:val="uk-UA"/>
              </w:rPr>
              <w:t xml:space="preserve">к інструмент побудови репутації. </w:t>
            </w:r>
            <w:r w:rsidR="00B57449" w:rsidRPr="00B57449">
              <w:rPr>
                <w:sz w:val="24"/>
                <w:szCs w:val="24"/>
                <w:lang w:val="uk-UA"/>
              </w:rPr>
              <w:t>Правила та помилки в діловій комунікації</w:t>
            </w:r>
          </w:p>
        </w:tc>
      </w:tr>
      <w:tr w:rsidR="003B64C5" w:rsidRPr="00B57449" w14:paraId="599A8756" w14:textId="77777777" w:rsidTr="15989308">
        <w:trPr>
          <w:cantSplit/>
          <w:trHeight w:val="361"/>
        </w:trPr>
        <w:tc>
          <w:tcPr>
            <w:tcW w:w="16302" w:type="dxa"/>
            <w:gridSpan w:val="9"/>
            <w:shd w:val="clear" w:color="auto" w:fill="D9D9D9" w:themeFill="background1" w:themeFillShade="D9"/>
            <w:vAlign w:val="center"/>
          </w:tcPr>
          <w:p w14:paraId="75E3748E" w14:textId="77777777" w:rsidR="003B64C5" w:rsidRPr="00A2273B" w:rsidRDefault="003B64C5" w:rsidP="003B64C5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sz w:val="20"/>
                <w:szCs w:val="20"/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ПЕРЕЛІК ОБЛАДНАННЯ</w:t>
            </w:r>
          </w:p>
        </w:tc>
      </w:tr>
      <w:tr w:rsidR="003B64C5" w:rsidRPr="00B57449" w14:paraId="09759E88" w14:textId="77777777" w:rsidTr="15989308">
        <w:trPr>
          <w:cantSplit/>
          <w:trHeight w:val="502"/>
        </w:trPr>
        <w:tc>
          <w:tcPr>
            <w:tcW w:w="16302" w:type="dxa"/>
            <w:gridSpan w:val="9"/>
            <w:shd w:val="clear" w:color="auto" w:fill="DBE5F1"/>
            <w:vAlign w:val="center"/>
          </w:tcPr>
          <w:p w14:paraId="0E3A6CF6" w14:textId="77777777" w:rsidR="003B64C5" w:rsidRPr="00A2273B" w:rsidRDefault="003B64C5" w:rsidP="003B64C5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Аудиторне приміщення, дошка, персональний комп’ютер.</w:t>
            </w:r>
          </w:p>
        </w:tc>
      </w:tr>
      <w:tr w:rsidR="003B64C5" w:rsidRPr="00B57449" w14:paraId="57785B77" w14:textId="77777777" w:rsidTr="15989308">
        <w:trPr>
          <w:trHeight w:val="388"/>
        </w:trPr>
        <w:tc>
          <w:tcPr>
            <w:tcW w:w="16302" w:type="dxa"/>
            <w:gridSpan w:val="9"/>
            <w:shd w:val="clear" w:color="auto" w:fill="D9D9D9" w:themeFill="background1" w:themeFillShade="D9"/>
            <w:vAlign w:val="center"/>
          </w:tcPr>
          <w:p w14:paraId="47934F78" w14:textId="77777777" w:rsidR="003B64C5" w:rsidRPr="00A2273B" w:rsidRDefault="003B64C5" w:rsidP="003B64C5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СИСТЕМА  ОЦІНЮВАННЯ</w:t>
            </w:r>
          </w:p>
        </w:tc>
      </w:tr>
      <w:tr w:rsidR="003B64C5" w:rsidRPr="00A2273B" w14:paraId="592898FB" w14:textId="77777777" w:rsidTr="15989308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extDirection w:val="btLr"/>
            <w:vAlign w:val="center"/>
          </w:tcPr>
          <w:p w14:paraId="7A55570F" w14:textId="77777777" w:rsidR="003B64C5" w:rsidRPr="00A2273B" w:rsidRDefault="003B64C5" w:rsidP="003B64C5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tcBorders>
              <w:right w:val="single" w:sz="18" w:space="0" w:color="FFFFFF" w:themeColor="background1"/>
            </w:tcBorders>
            <w:shd w:val="clear" w:color="auto" w:fill="DDD9C3"/>
          </w:tcPr>
          <w:p w14:paraId="5D29A9C4" w14:textId="77777777" w:rsidR="003B64C5" w:rsidRPr="00A2273B" w:rsidRDefault="003B64C5" w:rsidP="003B64C5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DD9C3"/>
            <w:vAlign w:val="center"/>
          </w:tcPr>
          <w:p w14:paraId="761577DD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A2273B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ЕСТS</w:t>
            </w:r>
          </w:p>
        </w:tc>
        <w:tc>
          <w:tcPr>
            <w:tcW w:w="3686" w:type="dxa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DD9C3"/>
            <w:vAlign w:val="center"/>
          </w:tcPr>
          <w:p w14:paraId="501B02EB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A2273B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4BC96"/>
            <w:textDirection w:val="btLr"/>
            <w:vAlign w:val="center"/>
          </w:tcPr>
          <w:p w14:paraId="28405315" w14:textId="77777777" w:rsidR="003B64C5" w:rsidRPr="00A2273B" w:rsidRDefault="003B64C5" w:rsidP="003B64C5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A2273B">
              <w:rPr>
                <w:b/>
                <w:sz w:val="24"/>
                <w:szCs w:val="24"/>
                <w:lang w:val="uk-UA"/>
              </w:rPr>
              <w:t>Нарахування балів</w:t>
            </w:r>
          </w:p>
        </w:tc>
        <w:tc>
          <w:tcPr>
            <w:tcW w:w="6662" w:type="dxa"/>
            <w:gridSpan w:val="3"/>
            <w:vMerge w:val="restart"/>
            <w:tcBorders>
              <w:left w:val="single" w:sz="8" w:space="0" w:color="FFFFFF" w:themeColor="background1"/>
            </w:tcBorders>
            <w:shd w:val="clear" w:color="auto" w:fill="DBE5F1"/>
          </w:tcPr>
          <w:p w14:paraId="699080F4" w14:textId="77777777" w:rsidR="003B64C5" w:rsidRPr="00A2273B" w:rsidRDefault="003B64C5" w:rsidP="003B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Бали нараховуються за наступним співвідношенням:</w:t>
            </w:r>
          </w:p>
          <w:p w14:paraId="129A95D2" w14:textId="77777777" w:rsidR="003B64C5" w:rsidRPr="00A2273B" w:rsidRDefault="003B64C5" w:rsidP="003B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практичні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 роботи: 20% семестрової оцінки;</w:t>
            </w:r>
          </w:p>
          <w:p w14:paraId="3FC9E5F8" w14:textId="77777777" w:rsidR="003B64C5" w:rsidRPr="00A2273B" w:rsidRDefault="003B64C5" w:rsidP="003B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sz w:val="24"/>
                <w:szCs w:val="24"/>
                <w:lang w:val="uk-UA"/>
              </w:rPr>
              <w:t xml:space="preserve"> 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самостійна робота: 20% семестрової оцінки;</w:t>
            </w:r>
          </w:p>
          <w:p w14:paraId="45B1ACD1" w14:textId="6991850E" w:rsidR="003B64C5" w:rsidRPr="00A2273B" w:rsidRDefault="003B64C5" w:rsidP="003B64C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A2273B">
              <w:rPr>
                <w:rFonts w:ascii="OpenSymbol" w:eastAsia="OpenSymbol" w:hAnsi="LiberationSerif" w:cs="OpenSymbol"/>
                <w:lang w:val="uk-UA"/>
              </w:rPr>
              <w:t>•</w:t>
            </w:r>
            <w:r w:rsidRPr="00A2273B">
              <w:rPr>
                <w:rFonts w:ascii="OpenSymbol" w:eastAsia="OpenSymbol" w:hAnsi="LiberationSerif" w:cs="OpenSymbol"/>
                <w:lang w:val="uk-UA"/>
              </w:rPr>
              <w:t xml:space="preserve"> </w:t>
            </w:r>
            <w:r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залік</w:t>
            </w:r>
            <w:r w:rsidRPr="00A2273B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: 60% семестрової оцінки</w:t>
            </w:r>
          </w:p>
        </w:tc>
      </w:tr>
      <w:tr w:rsidR="003B64C5" w:rsidRPr="00A2273B" w14:paraId="7BF9507F" w14:textId="77777777" w:rsidTr="15989308">
        <w:trPr>
          <w:trHeight w:val="54"/>
        </w:trPr>
        <w:tc>
          <w:tcPr>
            <w:tcW w:w="851" w:type="dxa"/>
            <w:gridSpan w:val="2"/>
            <w:vMerge/>
          </w:tcPr>
          <w:p w14:paraId="44EAFD9C" w14:textId="77777777" w:rsidR="003B64C5" w:rsidRPr="00A2273B" w:rsidRDefault="003B64C5" w:rsidP="003B64C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FFFFFF" w:themeColor="background1"/>
            </w:tcBorders>
            <w:shd w:val="clear" w:color="auto" w:fill="DBE5F1"/>
            <w:vAlign w:val="center"/>
          </w:tcPr>
          <w:p w14:paraId="0F4B4FE7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BE5F1"/>
            <w:vAlign w:val="center"/>
          </w:tcPr>
          <w:p w14:paraId="2FD609C7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3686" w:type="dxa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BE5F1"/>
            <w:vAlign w:val="center"/>
          </w:tcPr>
          <w:p w14:paraId="56A49B07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567" w:type="dxa"/>
            <w:vMerge/>
          </w:tcPr>
          <w:p w14:paraId="4B94D5A5" w14:textId="77777777" w:rsidR="003B64C5" w:rsidRPr="00A2273B" w:rsidRDefault="003B64C5" w:rsidP="003B64C5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3"/>
            <w:vMerge/>
          </w:tcPr>
          <w:p w14:paraId="3DEEC669" w14:textId="77777777" w:rsidR="003B64C5" w:rsidRPr="00A2273B" w:rsidRDefault="003B64C5" w:rsidP="003B64C5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3B64C5" w:rsidRPr="00A2273B" w14:paraId="7E89A726" w14:textId="77777777" w:rsidTr="15989308">
        <w:trPr>
          <w:trHeight w:val="174"/>
        </w:trPr>
        <w:tc>
          <w:tcPr>
            <w:tcW w:w="851" w:type="dxa"/>
            <w:gridSpan w:val="2"/>
            <w:vMerge/>
          </w:tcPr>
          <w:p w14:paraId="3656B9AB" w14:textId="77777777" w:rsidR="003B64C5" w:rsidRPr="00A2273B" w:rsidRDefault="003B64C5" w:rsidP="003B64C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FFFFFF" w:themeColor="background1"/>
            </w:tcBorders>
            <w:shd w:val="clear" w:color="auto" w:fill="DBE5F1"/>
            <w:vAlign w:val="center"/>
          </w:tcPr>
          <w:p w14:paraId="28263A29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BE5F1"/>
            <w:vAlign w:val="center"/>
          </w:tcPr>
          <w:p w14:paraId="6A7B4617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3686" w:type="dxa"/>
            <w:vMerge w:val="restart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BE5F1"/>
            <w:vAlign w:val="center"/>
          </w:tcPr>
          <w:p w14:paraId="619D04EE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567" w:type="dxa"/>
            <w:vMerge/>
          </w:tcPr>
          <w:p w14:paraId="45FB0818" w14:textId="77777777" w:rsidR="003B64C5" w:rsidRPr="00A2273B" w:rsidRDefault="003B64C5" w:rsidP="003B64C5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3"/>
            <w:vMerge/>
          </w:tcPr>
          <w:p w14:paraId="049F31CB" w14:textId="77777777" w:rsidR="003B64C5" w:rsidRPr="00A2273B" w:rsidRDefault="003B64C5" w:rsidP="003B64C5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3B64C5" w:rsidRPr="00A2273B" w14:paraId="42CFC472" w14:textId="77777777" w:rsidTr="15989308">
        <w:trPr>
          <w:trHeight w:val="108"/>
        </w:trPr>
        <w:tc>
          <w:tcPr>
            <w:tcW w:w="851" w:type="dxa"/>
            <w:gridSpan w:val="2"/>
            <w:vMerge/>
          </w:tcPr>
          <w:p w14:paraId="53128261" w14:textId="77777777" w:rsidR="003B64C5" w:rsidRPr="00A2273B" w:rsidRDefault="003B64C5" w:rsidP="003B64C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FFFFFF" w:themeColor="background1"/>
            </w:tcBorders>
            <w:shd w:val="clear" w:color="auto" w:fill="DBE5F1"/>
            <w:vAlign w:val="center"/>
          </w:tcPr>
          <w:p w14:paraId="79A05AD3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BE5F1"/>
            <w:vAlign w:val="center"/>
          </w:tcPr>
          <w:p w14:paraId="0349114B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3686" w:type="dxa"/>
            <w:vMerge/>
            <w:vAlign w:val="center"/>
          </w:tcPr>
          <w:p w14:paraId="62486C05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101652C" w14:textId="77777777" w:rsidR="003B64C5" w:rsidRPr="00A2273B" w:rsidRDefault="003B64C5" w:rsidP="003B64C5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3"/>
            <w:vMerge/>
          </w:tcPr>
          <w:p w14:paraId="4B99056E" w14:textId="77777777" w:rsidR="003B64C5" w:rsidRPr="00A2273B" w:rsidRDefault="003B64C5" w:rsidP="003B64C5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3B64C5" w:rsidRPr="00A2273B" w14:paraId="5E106700" w14:textId="77777777" w:rsidTr="15989308">
        <w:trPr>
          <w:trHeight w:val="20"/>
        </w:trPr>
        <w:tc>
          <w:tcPr>
            <w:tcW w:w="851" w:type="dxa"/>
            <w:gridSpan w:val="2"/>
            <w:vMerge/>
          </w:tcPr>
          <w:p w14:paraId="1299C43A" w14:textId="77777777" w:rsidR="003B64C5" w:rsidRPr="00A2273B" w:rsidRDefault="003B64C5" w:rsidP="003B64C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FFFFFF" w:themeColor="background1"/>
            </w:tcBorders>
            <w:shd w:val="clear" w:color="auto" w:fill="DBE5F1"/>
            <w:vAlign w:val="center"/>
          </w:tcPr>
          <w:p w14:paraId="5532D79C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BE5F1"/>
            <w:vAlign w:val="center"/>
          </w:tcPr>
          <w:p w14:paraId="61740529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3686" w:type="dxa"/>
            <w:vMerge w:val="restart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BE5F1"/>
            <w:vAlign w:val="center"/>
          </w:tcPr>
          <w:p w14:paraId="7059C99B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567" w:type="dxa"/>
            <w:vMerge/>
          </w:tcPr>
          <w:p w14:paraId="4DDBEF00" w14:textId="77777777" w:rsidR="003B64C5" w:rsidRPr="00A2273B" w:rsidRDefault="003B64C5" w:rsidP="003B64C5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3"/>
            <w:vMerge/>
          </w:tcPr>
          <w:p w14:paraId="3461D779" w14:textId="77777777" w:rsidR="003B64C5" w:rsidRPr="00A2273B" w:rsidRDefault="003B64C5" w:rsidP="003B64C5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3B64C5" w:rsidRPr="00A2273B" w14:paraId="13D0D303" w14:textId="77777777" w:rsidTr="15989308">
        <w:trPr>
          <w:trHeight w:val="34"/>
        </w:trPr>
        <w:tc>
          <w:tcPr>
            <w:tcW w:w="851" w:type="dxa"/>
            <w:gridSpan w:val="2"/>
            <w:vMerge/>
          </w:tcPr>
          <w:p w14:paraId="3CF2D8B6" w14:textId="77777777" w:rsidR="003B64C5" w:rsidRPr="00A2273B" w:rsidRDefault="003B64C5" w:rsidP="003B64C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FFFFFF" w:themeColor="background1"/>
            </w:tcBorders>
            <w:shd w:val="clear" w:color="auto" w:fill="DBE5F1"/>
            <w:vAlign w:val="center"/>
          </w:tcPr>
          <w:p w14:paraId="0CBDF5AB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BE5F1"/>
            <w:vAlign w:val="center"/>
          </w:tcPr>
          <w:p w14:paraId="065FA8BE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3686" w:type="dxa"/>
            <w:vMerge/>
            <w:vAlign w:val="center"/>
          </w:tcPr>
          <w:p w14:paraId="0FB78278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1FC39945" w14:textId="77777777" w:rsidR="003B64C5" w:rsidRPr="00A2273B" w:rsidRDefault="003B64C5" w:rsidP="003B64C5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3"/>
            <w:vMerge/>
          </w:tcPr>
          <w:p w14:paraId="0562CB0E" w14:textId="77777777" w:rsidR="003B64C5" w:rsidRPr="00A2273B" w:rsidRDefault="003B64C5" w:rsidP="003B64C5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3B64C5" w:rsidRPr="00A2273B" w14:paraId="25E2C0BD" w14:textId="77777777" w:rsidTr="15989308">
        <w:trPr>
          <w:trHeight w:val="338"/>
        </w:trPr>
        <w:tc>
          <w:tcPr>
            <w:tcW w:w="851" w:type="dxa"/>
            <w:gridSpan w:val="2"/>
            <w:vMerge/>
          </w:tcPr>
          <w:p w14:paraId="34CE0A41" w14:textId="77777777" w:rsidR="003B64C5" w:rsidRPr="00A2273B" w:rsidRDefault="003B64C5" w:rsidP="003B64C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FFFFFF" w:themeColor="background1"/>
            </w:tcBorders>
            <w:shd w:val="clear" w:color="auto" w:fill="DBE5F1"/>
            <w:vAlign w:val="center"/>
          </w:tcPr>
          <w:p w14:paraId="456FF87E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BE5F1"/>
            <w:vAlign w:val="center"/>
          </w:tcPr>
          <w:p w14:paraId="4E1B8AC6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3686" w:type="dxa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BE5F1"/>
            <w:vAlign w:val="center"/>
          </w:tcPr>
          <w:p w14:paraId="5F45D998" w14:textId="77777777" w:rsidR="003B64C5" w:rsidRPr="00A2273B" w:rsidRDefault="003B64C5" w:rsidP="003B64C5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</w:tcPr>
          <w:p w14:paraId="62EBF3C5" w14:textId="77777777" w:rsidR="003B64C5" w:rsidRPr="00A2273B" w:rsidRDefault="003B64C5" w:rsidP="003B64C5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3"/>
            <w:vMerge/>
          </w:tcPr>
          <w:p w14:paraId="6D98A12B" w14:textId="77777777" w:rsidR="003B64C5" w:rsidRPr="00A2273B" w:rsidRDefault="003B64C5" w:rsidP="003B64C5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  <w:tr w:rsidR="003B64C5" w:rsidRPr="00A2273B" w14:paraId="08FD43BC" w14:textId="77777777" w:rsidTr="15989308">
        <w:trPr>
          <w:trHeight w:val="335"/>
        </w:trPr>
        <w:tc>
          <w:tcPr>
            <w:tcW w:w="851" w:type="dxa"/>
            <w:gridSpan w:val="2"/>
            <w:vMerge/>
          </w:tcPr>
          <w:p w14:paraId="2946DB82" w14:textId="77777777" w:rsidR="003B64C5" w:rsidRPr="00A2273B" w:rsidRDefault="003B64C5" w:rsidP="003B64C5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right w:val="single" w:sz="18" w:space="0" w:color="FFFFFF" w:themeColor="background1"/>
            </w:tcBorders>
            <w:shd w:val="clear" w:color="auto" w:fill="DBE5F1"/>
            <w:vAlign w:val="center"/>
          </w:tcPr>
          <w:p w14:paraId="19F4A891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BE5F1"/>
            <w:vAlign w:val="center"/>
          </w:tcPr>
          <w:p w14:paraId="632692EA" w14:textId="77777777" w:rsidR="003B64C5" w:rsidRPr="00A2273B" w:rsidRDefault="003B64C5" w:rsidP="003B64C5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3686" w:type="dxa"/>
            <w:tcBorders>
              <w:left w:val="single" w:sz="18" w:space="0" w:color="FFFFFF" w:themeColor="background1"/>
              <w:right w:val="single" w:sz="8" w:space="0" w:color="FFFFFF" w:themeColor="background1"/>
            </w:tcBorders>
            <w:shd w:val="clear" w:color="auto" w:fill="DBE5F1"/>
            <w:vAlign w:val="center"/>
          </w:tcPr>
          <w:p w14:paraId="47C5485F" w14:textId="77777777" w:rsidR="003B64C5" w:rsidRPr="00A2273B" w:rsidRDefault="003B64C5" w:rsidP="003B64C5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A2273B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</w:tcPr>
          <w:p w14:paraId="5997CC1D" w14:textId="77777777" w:rsidR="003B64C5" w:rsidRPr="00A2273B" w:rsidRDefault="003B64C5" w:rsidP="003B64C5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3"/>
            <w:vMerge/>
          </w:tcPr>
          <w:p w14:paraId="110FFD37" w14:textId="77777777" w:rsidR="003B64C5" w:rsidRPr="00A2273B" w:rsidRDefault="003B64C5" w:rsidP="003B64C5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lang w:val="uk-UA"/>
              </w:rPr>
            </w:pPr>
          </w:p>
        </w:tc>
      </w:tr>
    </w:tbl>
    <w:p w14:paraId="62F1CD7A" w14:textId="71649B02" w:rsidR="00E23579" w:rsidRDefault="00E23579"/>
    <w:p w14:paraId="3B9B85D3" w14:textId="77777777" w:rsidR="00E23579" w:rsidRDefault="00E23579"/>
    <w:tbl>
      <w:tblPr>
        <w:tblW w:w="16302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6302"/>
      </w:tblGrid>
      <w:tr w:rsidR="003B64C5" w:rsidRPr="00A2273B" w14:paraId="2E2946AB" w14:textId="77777777" w:rsidTr="15989308">
        <w:trPr>
          <w:trHeight w:val="388"/>
        </w:trPr>
        <w:tc>
          <w:tcPr>
            <w:tcW w:w="16302" w:type="dxa"/>
            <w:shd w:val="clear" w:color="auto" w:fill="D9D9D9" w:themeFill="background1" w:themeFillShade="D9"/>
            <w:vAlign w:val="center"/>
          </w:tcPr>
          <w:p w14:paraId="083EED6E" w14:textId="77777777" w:rsidR="003B64C5" w:rsidRPr="00A2273B" w:rsidRDefault="003B64C5" w:rsidP="003B64C5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 w:rsidRPr="00A2273B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lastRenderedPageBreak/>
              <w:t>НОРМИ  АКАДЕМІЧНОЇ  ЕТИКИ</w:t>
            </w:r>
          </w:p>
        </w:tc>
      </w:tr>
      <w:tr w:rsidR="003B64C5" w:rsidRPr="00725E94" w14:paraId="12BBA87D" w14:textId="77777777" w:rsidTr="15989308">
        <w:trPr>
          <w:trHeight w:val="388"/>
        </w:trPr>
        <w:tc>
          <w:tcPr>
            <w:tcW w:w="16302" w:type="dxa"/>
            <w:shd w:val="clear" w:color="auto" w:fill="DBE5F1"/>
          </w:tcPr>
          <w:p w14:paraId="1F5A061D" w14:textId="77777777" w:rsidR="003B64C5" w:rsidRPr="00A2273B" w:rsidRDefault="003B64C5" w:rsidP="003B64C5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 xml:space="preserve">Аспірант повинен дотримуватися «Кодексу </w:t>
            </w:r>
            <w:r w:rsidRPr="00A2273B">
              <w:rPr>
                <w:lang w:val="uk-UA"/>
              </w:rPr>
              <w:t>етики академічних взаємовідносин та доброчесності НТУ «ХПІ»»:</w:t>
            </w:r>
            <w:r w:rsidRPr="00A2273B">
              <w:rPr>
                <w:sz w:val="24"/>
                <w:szCs w:val="24"/>
                <w:lang w:val="uk-UA"/>
              </w:rPr>
              <w:t xml:space="preserve">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      </w:r>
          </w:p>
        </w:tc>
      </w:tr>
      <w:tr w:rsidR="003B64C5" w:rsidRPr="00725E94" w14:paraId="6FF18B83" w14:textId="77777777" w:rsidTr="15989308">
        <w:trPr>
          <w:trHeight w:val="388"/>
        </w:trPr>
        <w:tc>
          <w:tcPr>
            <w:tcW w:w="16302" w:type="dxa"/>
            <w:shd w:val="clear" w:color="auto" w:fill="DDD9C3"/>
          </w:tcPr>
          <w:p w14:paraId="55C8CDB4" w14:textId="77777777" w:rsidR="003B64C5" w:rsidRPr="00A2273B" w:rsidRDefault="003B64C5" w:rsidP="003B64C5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A2273B">
              <w:rPr>
                <w:sz w:val="24"/>
                <w:szCs w:val="24"/>
                <w:lang w:val="uk-UA"/>
              </w:rPr>
              <w:t>Силабус за змістом повністю відповідає робочій програмі навчальної дисципліни</w:t>
            </w:r>
          </w:p>
        </w:tc>
      </w:tr>
    </w:tbl>
    <w:p w14:paraId="6B699379" w14:textId="2C6E07AB" w:rsidR="00CA29DD" w:rsidRPr="00A2273B" w:rsidRDefault="00CA29DD" w:rsidP="00140B51">
      <w:pPr>
        <w:rPr>
          <w:lang w:val="uk-UA"/>
        </w:rPr>
      </w:pPr>
    </w:p>
    <w:sectPr w:rsidR="00CA29DD" w:rsidRPr="00A2273B" w:rsidSect="0098315A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PMingLiU"/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FFB"/>
    <w:rsid w:val="00047CBB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943E4"/>
    <w:rsid w:val="000A3BFB"/>
    <w:rsid w:val="000B3DE3"/>
    <w:rsid w:val="000B6281"/>
    <w:rsid w:val="000B67C6"/>
    <w:rsid w:val="000C0A5D"/>
    <w:rsid w:val="000D3A34"/>
    <w:rsid w:val="000D3CA3"/>
    <w:rsid w:val="000E43D7"/>
    <w:rsid w:val="000F0ACF"/>
    <w:rsid w:val="000F1025"/>
    <w:rsid w:val="001057F5"/>
    <w:rsid w:val="00105B49"/>
    <w:rsid w:val="00117D58"/>
    <w:rsid w:val="00123A60"/>
    <w:rsid w:val="0012586F"/>
    <w:rsid w:val="00136685"/>
    <w:rsid w:val="00140B51"/>
    <w:rsid w:val="00147623"/>
    <w:rsid w:val="00150BA8"/>
    <w:rsid w:val="00157756"/>
    <w:rsid w:val="00164AFC"/>
    <w:rsid w:val="00182D0F"/>
    <w:rsid w:val="00190AF9"/>
    <w:rsid w:val="001918E0"/>
    <w:rsid w:val="00193E31"/>
    <w:rsid w:val="00197502"/>
    <w:rsid w:val="001A1E5F"/>
    <w:rsid w:val="001A1E7E"/>
    <w:rsid w:val="001A4654"/>
    <w:rsid w:val="001A66B6"/>
    <w:rsid w:val="001B067D"/>
    <w:rsid w:val="001B14A0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4FF1"/>
    <w:rsid w:val="001F7EB0"/>
    <w:rsid w:val="00201C18"/>
    <w:rsid w:val="00207C71"/>
    <w:rsid w:val="002106D2"/>
    <w:rsid w:val="002117BE"/>
    <w:rsid w:val="00212B4E"/>
    <w:rsid w:val="00213B17"/>
    <w:rsid w:val="00220FCB"/>
    <w:rsid w:val="00222B9D"/>
    <w:rsid w:val="00224F83"/>
    <w:rsid w:val="002338AF"/>
    <w:rsid w:val="00236A83"/>
    <w:rsid w:val="00246403"/>
    <w:rsid w:val="0024797B"/>
    <w:rsid w:val="00254F05"/>
    <w:rsid w:val="00257058"/>
    <w:rsid w:val="00265DFE"/>
    <w:rsid w:val="00271E7C"/>
    <w:rsid w:val="0027772E"/>
    <w:rsid w:val="002848F8"/>
    <w:rsid w:val="00286352"/>
    <w:rsid w:val="00290922"/>
    <w:rsid w:val="002A1BBE"/>
    <w:rsid w:val="002A3645"/>
    <w:rsid w:val="002A36DC"/>
    <w:rsid w:val="002B4921"/>
    <w:rsid w:val="002B74A6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2F6864"/>
    <w:rsid w:val="00302D2A"/>
    <w:rsid w:val="00302F66"/>
    <w:rsid w:val="0030507D"/>
    <w:rsid w:val="0031176C"/>
    <w:rsid w:val="00311F2E"/>
    <w:rsid w:val="00315F56"/>
    <w:rsid w:val="00335B15"/>
    <w:rsid w:val="003416D1"/>
    <w:rsid w:val="00341E96"/>
    <w:rsid w:val="00344692"/>
    <w:rsid w:val="00354C05"/>
    <w:rsid w:val="0035703A"/>
    <w:rsid w:val="00357EA9"/>
    <w:rsid w:val="00363848"/>
    <w:rsid w:val="003705F9"/>
    <w:rsid w:val="00373188"/>
    <w:rsid w:val="0037637E"/>
    <w:rsid w:val="00382C07"/>
    <w:rsid w:val="00385405"/>
    <w:rsid w:val="00391F0A"/>
    <w:rsid w:val="003944E8"/>
    <w:rsid w:val="00395666"/>
    <w:rsid w:val="00395E13"/>
    <w:rsid w:val="00396198"/>
    <w:rsid w:val="003A2430"/>
    <w:rsid w:val="003A2F61"/>
    <w:rsid w:val="003A4490"/>
    <w:rsid w:val="003A7EE2"/>
    <w:rsid w:val="003B0751"/>
    <w:rsid w:val="003B080F"/>
    <w:rsid w:val="003B64C5"/>
    <w:rsid w:val="003C2113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56CE"/>
    <w:rsid w:val="00415B30"/>
    <w:rsid w:val="004273B0"/>
    <w:rsid w:val="00433964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94E73"/>
    <w:rsid w:val="004A3049"/>
    <w:rsid w:val="004A6035"/>
    <w:rsid w:val="004B35B8"/>
    <w:rsid w:val="004B4499"/>
    <w:rsid w:val="004C3798"/>
    <w:rsid w:val="004D2084"/>
    <w:rsid w:val="004D2F30"/>
    <w:rsid w:val="004D3ACE"/>
    <w:rsid w:val="004E0E71"/>
    <w:rsid w:val="004F105A"/>
    <w:rsid w:val="0050240B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2699A"/>
    <w:rsid w:val="00535DA2"/>
    <w:rsid w:val="00536801"/>
    <w:rsid w:val="00537033"/>
    <w:rsid w:val="0053782C"/>
    <w:rsid w:val="0054292B"/>
    <w:rsid w:val="00544971"/>
    <w:rsid w:val="00550237"/>
    <w:rsid w:val="00551C21"/>
    <w:rsid w:val="00553E58"/>
    <w:rsid w:val="00555CCE"/>
    <w:rsid w:val="005563C2"/>
    <w:rsid w:val="00561ED8"/>
    <w:rsid w:val="00565FC2"/>
    <w:rsid w:val="00571D3A"/>
    <w:rsid w:val="0057362A"/>
    <w:rsid w:val="0058225A"/>
    <w:rsid w:val="0058282F"/>
    <w:rsid w:val="005920D0"/>
    <w:rsid w:val="005A4498"/>
    <w:rsid w:val="005B493A"/>
    <w:rsid w:val="005C23D3"/>
    <w:rsid w:val="005C575A"/>
    <w:rsid w:val="005D1270"/>
    <w:rsid w:val="005E0F85"/>
    <w:rsid w:val="005E1DF7"/>
    <w:rsid w:val="005E3E6E"/>
    <w:rsid w:val="00604849"/>
    <w:rsid w:val="00611397"/>
    <w:rsid w:val="00612819"/>
    <w:rsid w:val="00614A10"/>
    <w:rsid w:val="006164C8"/>
    <w:rsid w:val="00616BB3"/>
    <w:rsid w:val="00631E2F"/>
    <w:rsid w:val="006325C8"/>
    <w:rsid w:val="006445C8"/>
    <w:rsid w:val="006600A4"/>
    <w:rsid w:val="00662443"/>
    <w:rsid w:val="006716D1"/>
    <w:rsid w:val="00673F70"/>
    <w:rsid w:val="0067704F"/>
    <w:rsid w:val="00684B57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6182"/>
    <w:rsid w:val="006D7A4C"/>
    <w:rsid w:val="006E27E1"/>
    <w:rsid w:val="006F23B7"/>
    <w:rsid w:val="006F75CA"/>
    <w:rsid w:val="00701714"/>
    <w:rsid w:val="00702B18"/>
    <w:rsid w:val="00702F88"/>
    <w:rsid w:val="007037C4"/>
    <w:rsid w:val="0070647C"/>
    <w:rsid w:val="0071133D"/>
    <w:rsid w:val="00713351"/>
    <w:rsid w:val="00723F5B"/>
    <w:rsid w:val="00725E94"/>
    <w:rsid w:val="00731403"/>
    <w:rsid w:val="00735019"/>
    <w:rsid w:val="007420E1"/>
    <w:rsid w:val="007476D3"/>
    <w:rsid w:val="00754053"/>
    <w:rsid w:val="00755DBE"/>
    <w:rsid w:val="00773942"/>
    <w:rsid w:val="007755A8"/>
    <w:rsid w:val="00775F71"/>
    <w:rsid w:val="0077614D"/>
    <w:rsid w:val="0078092E"/>
    <w:rsid w:val="007809D2"/>
    <w:rsid w:val="007821D9"/>
    <w:rsid w:val="0078561E"/>
    <w:rsid w:val="00785C87"/>
    <w:rsid w:val="007B2FA1"/>
    <w:rsid w:val="007B5018"/>
    <w:rsid w:val="007C2EA2"/>
    <w:rsid w:val="007C4F9D"/>
    <w:rsid w:val="007D0FFD"/>
    <w:rsid w:val="007D1C36"/>
    <w:rsid w:val="007E1708"/>
    <w:rsid w:val="007E3323"/>
    <w:rsid w:val="007E345F"/>
    <w:rsid w:val="007F5E96"/>
    <w:rsid w:val="00802279"/>
    <w:rsid w:val="00802589"/>
    <w:rsid w:val="00804D6F"/>
    <w:rsid w:val="00812090"/>
    <w:rsid w:val="00815E6A"/>
    <w:rsid w:val="008168C1"/>
    <w:rsid w:val="00831274"/>
    <w:rsid w:val="0084455C"/>
    <w:rsid w:val="008533B0"/>
    <w:rsid w:val="00856EB1"/>
    <w:rsid w:val="0086048F"/>
    <w:rsid w:val="00860D20"/>
    <w:rsid w:val="00873BAE"/>
    <w:rsid w:val="008740D4"/>
    <w:rsid w:val="0087478E"/>
    <w:rsid w:val="00874E63"/>
    <w:rsid w:val="008755F1"/>
    <w:rsid w:val="00894026"/>
    <w:rsid w:val="008A185E"/>
    <w:rsid w:val="008B304C"/>
    <w:rsid w:val="008B5797"/>
    <w:rsid w:val="008B5F03"/>
    <w:rsid w:val="008C10B8"/>
    <w:rsid w:val="008C6CAC"/>
    <w:rsid w:val="008D3341"/>
    <w:rsid w:val="008D72A7"/>
    <w:rsid w:val="008D75CD"/>
    <w:rsid w:val="008E1F08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4510"/>
    <w:rsid w:val="00925CDD"/>
    <w:rsid w:val="00932A30"/>
    <w:rsid w:val="00937FF5"/>
    <w:rsid w:val="00945E9F"/>
    <w:rsid w:val="009466F1"/>
    <w:rsid w:val="00953091"/>
    <w:rsid w:val="009655E9"/>
    <w:rsid w:val="00965D80"/>
    <w:rsid w:val="00967F67"/>
    <w:rsid w:val="0097002A"/>
    <w:rsid w:val="009747DD"/>
    <w:rsid w:val="00980114"/>
    <w:rsid w:val="0098315A"/>
    <w:rsid w:val="00986728"/>
    <w:rsid w:val="00994641"/>
    <w:rsid w:val="0099489A"/>
    <w:rsid w:val="00995CE6"/>
    <w:rsid w:val="009A59FF"/>
    <w:rsid w:val="009A63D1"/>
    <w:rsid w:val="009B0B83"/>
    <w:rsid w:val="009B12D4"/>
    <w:rsid w:val="009B28A0"/>
    <w:rsid w:val="009B2E0F"/>
    <w:rsid w:val="009B42C8"/>
    <w:rsid w:val="009B5664"/>
    <w:rsid w:val="009C10C9"/>
    <w:rsid w:val="009C215B"/>
    <w:rsid w:val="009C528F"/>
    <w:rsid w:val="009C5438"/>
    <w:rsid w:val="009C68AB"/>
    <w:rsid w:val="009D487B"/>
    <w:rsid w:val="009E0B3A"/>
    <w:rsid w:val="009E40C3"/>
    <w:rsid w:val="009E5C36"/>
    <w:rsid w:val="009E6965"/>
    <w:rsid w:val="009F02C0"/>
    <w:rsid w:val="009F6823"/>
    <w:rsid w:val="00A00B22"/>
    <w:rsid w:val="00A0323D"/>
    <w:rsid w:val="00A1442B"/>
    <w:rsid w:val="00A15C51"/>
    <w:rsid w:val="00A1709A"/>
    <w:rsid w:val="00A21D77"/>
    <w:rsid w:val="00A2273B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6308D"/>
    <w:rsid w:val="00A71140"/>
    <w:rsid w:val="00A71F82"/>
    <w:rsid w:val="00A74CB2"/>
    <w:rsid w:val="00A82422"/>
    <w:rsid w:val="00A86FF7"/>
    <w:rsid w:val="00A91954"/>
    <w:rsid w:val="00A927BC"/>
    <w:rsid w:val="00A92EF9"/>
    <w:rsid w:val="00AA19AF"/>
    <w:rsid w:val="00AA1B3A"/>
    <w:rsid w:val="00AA2657"/>
    <w:rsid w:val="00AA3DDE"/>
    <w:rsid w:val="00AA4957"/>
    <w:rsid w:val="00AA7C19"/>
    <w:rsid w:val="00AB45E0"/>
    <w:rsid w:val="00AB6590"/>
    <w:rsid w:val="00AB6E44"/>
    <w:rsid w:val="00AB72D0"/>
    <w:rsid w:val="00AC0DCC"/>
    <w:rsid w:val="00AC4704"/>
    <w:rsid w:val="00AC6F9C"/>
    <w:rsid w:val="00AD6FFB"/>
    <w:rsid w:val="00AD71E1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10C51"/>
    <w:rsid w:val="00B133C3"/>
    <w:rsid w:val="00B13510"/>
    <w:rsid w:val="00B13EA6"/>
    <w:rsid w:val="00B2390E"/>
    <w:rsid w:val="00B25922"/>
    <w:rsid w:val="00B26262"/>
    <w:rsid w:val="00B262C4"/>
    <w:rsid w:val="00B26F44"/>
    <w:rsid w:val="00B27AA8"/>
    <w:rsid w:val="00B312DA"/>
    <w:rsid w:val="00B31B5A"/>
    <w:rsid w:val="00B357E2"/>
    <w:rsid w:val="00B36A69"/>
    <w:rsid w:val="00B43067"/>
    <w:rsid w:val="00B57449"/>
    <w:rsid w:val="00B613E0"/>
    <w:rsid w:val="00B6758C"/>
    <w:rsid w:val="00B757FB"/>
    <w:rsid w:val="00B81931"/>
    <w:rsid w:val="00B937DA"/>
    <w:rsid w:val="00BA22CF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BF30BA"/>
    <w:rsid w:val="00C0340C"/>
    <w:rsid w:val="00C11518"/>
    <w:rsid w:val="00C13900"/>
    <w:rsid w:val="00C1436C"/>
    <w:rsid w:val="00C14F86"/>
    <w:rsid w:val="00C151ED"/>
    <w:rsid w:val="00C172D6"/>
    <w:rsid w:val="00C22917"/>
    <w:rsid w:val="00C23A6D"/>
    <w:rsid w:val="00C23A9E"/>
    <w:rsid w:val="00C243DB"/>
    <w:rsid w:val="00C2622C"/>
    <w:rsid w:val="00C31965"/>
    <w:rsid w:val="00C41F9A"/>
    <w:rsid w:val="00C456A0"/>
    <w:rsid w:val="00C47B29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85927"/>
    <w:rsid w:val="00C91BB9"/>
    <w:rsid w:val="00C930B6"/>
    <w:rsid w:val="00C93680"/>
    <w:rsid w:val="00C96B75"/>
    <w:rsid w:val="00CA0061"/>
    <w:rsid w:val="00CA29DD"/>
    <w:rsid w:val="00CA7560"/>
    <w:rsid w:val="00CA7D25"/>
    <w:rsid w:val="00CB0807"/>
    <w:rsid w:val="00CB1E45"/>
    <w:rsid w:val="00CB24C2"/>
    <w:rsid w:val="00CB5947"/>
    <w:rsid w:val="00CB6136"/>
    <w:rsid w:val="00CB7771"/>
    <w:rsid w:val="00CC0A73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15D3B"/>
    <w:rsid w:val="00D16421"/>
    <w:rsid w:val="00D2534A"/>
    <w:rsid w:val="00D25EE5"/>
    <w:rsid w:val="00D27C99"/>
    <w:rsid w:val="00D3313E"/>
    <w:rsid w:val="00D3393F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5B63"/>
    <w:rsid w:val="00D56701"/>
    <w:rsid w:val="00D6588D"/>
    <w:rsid w:val="00D9074E"/>
    <w:rsid w:val="00D956E2"/>
    <w:rsid w:val="00DA18E1"/>
    <w:rsid w:val="00DA3375"/>
    <w:rsid w:val="00DB0A6B"/>
    <w:rsid w:val="00DB1B3D"/>
    <w:rsid w:val="00DB1B66"/>
    <w:rsid w:val="00DB7988"/>
    <w:rsid w:val="00DC7059"/>
    <w:rsid w:val="00DD1A8C"/>
    <w:rsid w:val="00DD31FA"/>
    <w:rsid w:val="00DD77E4"/>
    <w:rsid w:val="00DD7E2D"/>
    <w:rsid w:val="00DE141A"/>
    <w:rsid w:val="00DE3D62"/>
    <w:rsid w:val="00DE7D1F"/>
    <w:rsid w:val="00DF29F9"/>
    <w:rsid w:val="00E0507A"/>
    <w:rsid w:val="00E06B1A"/>
    <w:rsid w:val="00E12A1C"/>
    <w:rsid w:val="00E12FA1"/>
    <w:rsid w:val="00E17F61"/>
    <w:rsid w:val="00E22233"/>
    <w:rsid w:val="00E23579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C40"/>
    <w:rsid w:val="00E62511"/>
    <w:rsid w:val="00E81CBD"/>
    <w:rsid w:val="00E826F2"/>
    <w:rsid w:val="00E94687"/>
    <w:rsid w:val="00E95A6A"/>
    <w:rsid w:val="00E95DB9"/>
    <w:rsid w:val="00EC5D23"/>
    <w:rsid w:val="00ED4465"/>
    <w:rsid w:val="00EE47A4"/>
    <w:rsid w:val="00F02A2A"/>
    <w:rsid w:val="00F10234"/>
    <w:rsid w:val="00F13036"/>
    <w:rsid w:val="00F13653"/>
    <w:rsid w:val="00F14362"/>
    <w:rsid w:val="00F231C5"/>
    <w:rsid w:val="00F23433"/>
    <w:rsid w:val="00F24655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69EE"/>
    <w:rsid w:val="00F770DD"/>
    <w:rsid w:val="00F84C1C"/>
    <w:rsid w:val="00F84E8C"/>
    <w:rsid w:val="00F8699C"/>
    <w:rsid w:val="00F96671"/>
    <w:rsid w:val="00FA7B8B"/>
    <w:rsid w:val="00FA7DB3"/>
    <w:rsid w:val="00FB10CD"/>
    <w:rsid w:val="00FB4927"/>
    <w:rsid w:val="00FC3EE5"/>
    <w:rsid w:val="00FC5136"/>
    <w:rsid w:val="00FD2FB0"/>
    <w:rsid w:val="00FD5637"/>
    <w:rsid w:val="00FE2BAB"/>
    <w:rsid w:val="00FE2F01"/>
    <w:rsid w:val="00FE69A2"/>
    <w:rsid w:val="00FF29ED"/>
    <w:rsid w:val="00FF48F7"/>
    <w:rsid w:val="00FF7276"/>
    <w:rsid w:val="137E8BBE"/>
    <w:rsid w:val="15989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18F9"/>
  <w15:chartTrackingRefBased/>
  <w15:docId w15:val="{BEE1B9DC-44B2-49E1-BDE6-C50A03A6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2F6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paragraph">
    <w:name w:val="paragraph"/>
    <w:basedOn w:val="a"/>
    <w:rsid w:val="000D3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3A34"/>
  </w:style>
  <w:style w:type="character" w:customStyle="1" w:styleId="eop">
    <w:name w:val="eop"/>
    <w:basedOn w:val="a0"/>
    <w:rsid w:val="000D3A34"/>
  </w:style>
  <w:style w:type="character" w:styleId="aa">
    <w:name w:val="Hyperlink"/>
    <w:basedOn w:val="a0"/>
    <w:uiPriority w:val="99"/>
    <w:unhideWhenUsed/>
    <w:rsid w:val="00BF30B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68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tik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</dc:creator>
  <cp:keywords/>
  <cp:lastModifiedBy>Ніна Вікторівна Підбуцька</cp:lastModifiedBy>
  <cp:revision>19</cp:revision>
  <cp:lastPrinted>2019-11-22T19:36:00Z</cp:lastPrinted>
  <dcterms:created xsi:type="dcterms:W3CDTF">2021-12-09T07:33:00Z</dcterms:created>
  <dcterms:modified xsi:type="dcterms:W3CDTF">2021-12-11T06:56:00Z</dcterms:modified>
</cp:coreProperties>
</file>