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0"/>
        <w:gridCol w:w="16"/>
        <w:gridCol w:w="561"/>
        <w:gridCol w:w="4253"/>
        <w:gridCol w:w="1118"/>
        <w:gridCol w:w="1716"/>
        <w:gridCol w:w="6195"/>
      </w:tblGrid>
      <w:tr w:rsidR="004952EA" w:rsidRPr="00A9620B" w14:paraId="1884CD5B" w14:textId="77777777" w:rsidTr="00872E8E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0A773E65" w14:textId="363353E9" w:rsidR="004952EA" w:rsidRPr="00A9620B" w:rsidRDefault="00872E8E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МОНІТОРИНГ ЯКОСТІ ОСВІТИ У ВИЩІЙ ШКОЛІ</w:t>
            </w:r>
          </w:p>
          <w:p w14:paraId="1BA15D4B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872E8E">
        <w:trPr>
          <w:trHeight w:val="327"/>
        </w:trPr>
        <w:tc>
          <w:tcPr>
            <w:tcW w:w="75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58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63755209" w:rsidR="004952EA" w:rsidRPr="00A9620B" w:rsidRDefault="000A3B23" w:rsidP="00926663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926663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11Освітні, педагогічні науки</w:t>
            </w: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90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978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872E8E">
        <w:trPr>
          <w:trHeight w:val="638"/>
        </w:trPr>
        <w:tc>
          <w:tcPr>
            <w:tcW w:w="75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58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2B99D2EC" w:rsidR="004952EA" w:rsidRPr="00A9620B" w:rsidRDefault="000A3B23" w:rsidP="00E45512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</w:t>
            </w:r>
            <w:r w:rsidR="00E45512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едагогіка вищої школи</w:t>
            </w:r>
          </w:p>
        </w:tc>
        <w:tc>
          <w:tcPr>
            <w:tcW w:w="90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978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14:paraId="5C4F61D2" w14:textId="77777777" w:rsidTr="00872E8E">
        <w:trPr>
          <w:trHeight w:val="205"/>
        </w:trPr>
        <w:tc>
          <w:tcPr>
            <w:tcW w:w="75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58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90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978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872E8E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404F7757" w:rsidR="004952EA" w:rsidRPr="00926663" w:rsidRDefault="00926663" w:rsidP="00926663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26663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Ігнатюк</w:t>
            </w:r>
            <w:proofErr w:type="spellEnd"/>
            <w:r w:rsidRPr="00926663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Ольга Анатоліївна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2C4F4AED" w:rsidR="00926663" w:rsidRPr="00926663" w:rsidRDefault="00AE17A8" w:rsidP="00926663">
            <w:pPr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</w:pPr>
            <w:hyperlink r:id="rId6" w:history="1"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olgaignatyuk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2016@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gmail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com</w:t>
              </w:r>
            </w:hyperlink>
            <w:r w:rsidR="00926663" w:rsidRPr="00664082">
              <w:rPr>
                <w:rFonts w:ascii="Times New Roman" w:hAnsi="Times New Roman" w:cs="Times New Roman"/>
                <w:color w:val="323130"/>
                <w:sz w:val="26"/>
                <w:szCs w:val="26"/>
                <w:highlight w:val="lightGray"/>
                <w:shd w:val="clear" w:color="auto" w:fill="FFFFFF"/>
                <w:lang w:val="uk-UA"/>
              </w:rPr>
              <w:t xml:space="preserve">; </w:t>
            </w:r>
            <w:hyperlink r:id="rId7" w:history="1"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Olha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Ihnatiuk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@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</w:rPr>
                <w:t>khpi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</w:rPr>
                <w:t>edu</w:t>
              </w:r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proofErr w:type="spellStart"/>
              <w:r w:rsidR="00926663"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4952EA" w:rsidRPr="00872E8E" w14:paraId="1EE99D43" w14:textId="77777777" w:rsidTr="007568AE">
        <w:trPr>
          <w:trHeight w:val="1473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29B03D91" w:rsidR="004952EA" w:rsidRPr="00926663" w:rsidRDefault="0092666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26663">
              <w:rPr>
                <w:rFonts w:ascii="Calibri" w:eastAsia="Calibri" w:hAnsi="Calibri" w:cs="Times New Roman"/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 wp14:anchorId="6936BE7D" wp14:editId="44480337">
                  <wp:extent cx="87630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750A158C" w14:textId="167CD398" w:rsidR="004952EA" w:rsidRPr="000321C2" w:rsidRDefault="000A3B23" w:rsidP="00872E8E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педагогічних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наук,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професор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професор кафедри педагогіки та психології управління соціальними системами імені акад. І.А. </w:t>
            </w:r>
            <w:proofErr w:type="spellStart"/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26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250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="00872E8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Основи наукових досліджень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Психолого-педагогічні основи особистісно професійного розвитку майбутнього фахівця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Основи педагогіки вищої школи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Методологія і логіка науково педагогічної діяльності у вищій технічній школі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872E8E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1F51B88C" w:rsidR="004952EA" w:rsidRPr="00872E8E" w:rsidRDefault="00872E8E" w:rsidP="007568AE">
            <w:pPr>
              <w:ind w:left="34" w:hanging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872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навчання ОК здобувачі зможуть засвоїти знання щодо організації та здійснення ефективного моніторингу </w:t>
            </w:r>
            <w:r w:rsidRPr="00872E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системи забезпечення якості вищої освіти, процедур визначення забезпечення якості викладацького складу, здійснення моніторингу якості освіти, якості викладання і навчання, забезпечення прозорості якості оцінювання здобувачів вищої освіти; набути і розвинути </w:t>
            </w:r>
            <w:r w:rsidRPr="008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уміння щодо розробки та застосування контрольно-вимірювальних матеріалів, організації </w:t>
            </w:r>
            <w:r w:rsidRPr="00872E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психолого-педагогічного оцінювання, визначення критеріїв оцінювання та апробації результатів в освітньому процесі ЗВО на засадах академічної доброчесності</w:t>
            </w:r>
            <w:r w:rsidR="0075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02933" w:rsidRPr="000321C2">
              <w:rPr>
                <w:sz w:val="24"/>
                <w:lang w:val="uk-UA"/>
              </w:rPr>
              <w:t xml:space="preserve"> </w:t>
            </w:r>
          </w:p>
        </w:tc>
      </w:tr>
      <w:tr w:rsidR="004952EA" w:rsidRPr="00872E8E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3F56F0FE" w:rsidR="004952EA" w:rsidRPr="00872E8E" w:rsidRDefault="00872E8E" w:rsidP="00872E8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2E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Мета викладання навчальної дисципліни </w:t>
            </w:r>
            <w:r w:rsidRPr="008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“Моніторинг якості освіти у вищій школі”</w:t>
            </w:r>
            <w:r w:rsidRPr="00872E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полягає у наданні здобувачам освіти систематизованих знань із теоретичних аспектів освітнього моніторингу, принципів, функцій, видів, механізму контролю й відстеження якості освіти у вищій школі та формуванні практичних вмінь ефективного використання методології, інструментів і критеріїв педагогічного вимірювання, інтерпретації результатів дослідження, їх апроб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ації та впровадження в практику.</w:t>
            </w:r>
          </w:p>
        </w:tc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323CE92C" w:rsidR="004952EA" w:rsidRPr="00E45512" w:rsidRDefault="000A3B23" w:rsidP="00872E8E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872E8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екзамен</w:t>
            </w:r>
            <w:r w:rsidR="00926663"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E45512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E45512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7777777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7A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1A6C029A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РН1. Знати на рівні новітніх досягнень концепції розвитку освіти і педагогіки, методологію відповідних досліджень.</w:t>
      </w:r>
    </w:p>
    <w:p w14:paraId="3CAC7AD4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РН2. Використовувати сучасні цифрові технології і ресурси у професійній, інноваційній та дослідницькій діяльності.</w:t>
      </w:r>
    </w:p>
    <w:p w14:paraId="3FF0E94A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РН3. 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</w:r>
    </w:p>
    <w:p w14:paraId="1832804C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РН4. </w:t>
      </w:r>
      <w:r w:rsidRPr="007568AE"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  <w:t xml:space="preserve">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</w:t>
      </w:r>
      <w:proofErr w:type="spellStart"/>
      <w:r w:rsidRPr="007568AE"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  <w:t>проєктів</w:t>
      </w:r>
      <w:proofErr w:type="spellEnd"/>
      <w:r w:rsidRPr="007568AE"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  <w:t>.</w:t>
      </w:r>
    </w:p>
    <w:p w14:paraId="647090DD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РН5. Організовувати освітній процес на основі </w:t>
      </w:r>
      <w:proofErr w:type="spellStart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студентоцентрованого</w:t>
      </w:r>
      <w:proofErr w:type="spellEnd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, </w:t>
      </w:r>
      <w:proofErr w:type="spellStart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компетентнісного</w:t>
      </w:r>
      <w:proofErr w:type="spellEnd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</w:r>
    </w:p>
    <w:p w14:paraId="4D726366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РН6. Розробляти та реалізовувати інноваційні й дослідницькі </w:t>
      </w:r>
      <w:proofErr w:type="spellStart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проєкти</w:t>
      </w:r>
      <w:proofErr w:type="spellEnd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 у сфері освіти/педагогіки та міждисциплінарного рівня із дотриманням правових, соціальних, економічних, етичних норм.</w:t>
      </w:r>
    </w:p>
    <w:p w14:paraId="385C1639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РН7. Створювати відкрите </w:t>
      </w:r>
      <w:proofErr w:type="spellStart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освітньо</w:t>
      </w:r>
      <w:proofErr w:type="spellEnd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-наукове середовище, сприятливе для здобувачів освіти та спрямоване на забезпечення результатів навчання.</w:t>
      </w:r>
    </w:p>
    <w:p w14:paraId="3FCD5E33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РН9. 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</w:r>
      <w:proofErr w:type="spellStart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релевантність</w:t>
      </w:r>
      <w:proofErr w:type="spellEnd"/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. </w:t>
      </w:r>
    </w:p>
    <w:p w14:paraId="44A3AE08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  <w:t>РН10. П</w:t>
      </w:r>
      <w:r w:rsidRPr="007568A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</w:r>
    </w:p>
    <w:p w14:paraId="56584B23" w14:textId="77777777" w:rsidR="007568AE" w:rsidRPr="007568AE" w:rsidRDefault="007568AE" w:rsidP="007568AE">
      <w:pPr>
        <w:widowControl w:val="0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uk-UA" w:eastAsia="ru-RU"/>
        </w:rPr>
      </w:pPr>
      <w:r w:rsidRPr="007568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uk-UA" w:eastAsia="ru-RU"/>
        </w:rPr>
        <w:t xml:space="preserve">РН11.Здійснювати консультативну діяльність у сфері освітніх, педагогічних наук. 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7A8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AE17A8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AE17A8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AE17A8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049311B4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proofErr w:type="spellStart"/>
      <w:r w:rsidR="007568AE" w:rsidRPr="007568AE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>Вступ</w:t>
      </w:r>
      <w:proofErr w:type="spellEnd"/>
      <w:r w:rsidR="007568AE" w:rsidRPr="007568AE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 xml:space="preserve"> до </w:t>
      </w:r>
      <w:r w:rsidR="007568AE" w:rsidRPr="007568AE">
        <w:rPr>
          <w:rFonts w:ascii="Times New Roman" w:eastAsia="Droid Sans Fallback" w:hAnsi="Times New Roman" w:cs="Times New Roman"/>
          <w:color w:val="00000A"/>
          <w:sz w:val="26"/>
          <w:szCs w:val="26"/>
          <w:lang w:val="uk-UA" w:eastAsia="zh-CN" w:bidi="hi-IN"/>
        </w:rPr>
        <w:t>дисципліни</w:t>
      </w:r>
      <w:r w:rsidR="007568AE" w:rsidRPr="007568AE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 xml:space="preserve">. Предмет, мета й </w:t>
      </w:r>
      <w:proofErr w:type="spellStart"/>
      <w:r w:rsidR="007568AE" w:rsidRPr="007568AE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>завдання</w:t>
      </w:r>
      <w:proofErr w:type="spellEnd"/>
      <w:r w:rsidR="007568AE" w:rsidRPr="007568AE">
        <w:rPr>
          <w:rFonts w:ascii="Times New Roman" w:eastAsia="Droid Sans Fallback" w:hAnsi="Times New Roman" w:cs="Times New Roman"/>
          <w:color w:val="00000A"/>
          <w:sz w:val="26"/>
          <w:szCs w:val="26"/>
          <w:lang w:val="uk-UA" w:eastAsia="zh-CN" w:bidi="hi-IN"/>
        </w:rPr>
        <w:t>, результати навчання. Функціонування системи вищої освіти</w:t>
      </w:r>
      <w:r w:rsidR="007568AE">
        <w:rPr>
          <w:rFonts w:ascii="Times New Roman" w:eastAsia="Droid Sans Fallback" w:hAnsi="Times New Roman" w:cs="Times New Roman"/>
          <w:color w:val="00000A"/>
          <w:sz w:val="26"/>
          <w:szCs w:val="26"/>
          <w:lang w:val="uk-UA" w:eastAsia="zh-CN" w:bidi="hi-IN"/>
        </w:rPr>
        <w:t>.</w:t>
      </w:r>
    </w:p>
    <w:p w14:paraId="09D67D56" w14:textId="77777777" w:rsidR="007568AE" w:rsidRDefault="00A9620B" w:rsidP="00B04095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</w:pP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 xml:space="preserve">Якість освіти. Якість підготовки здобувачів як предмет </w:t>
      </w:r>
      <w:proofErr w:type="spellStart"/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дослідження.НРК</w:t>
      </w:r>
      <w:proofErr w:type="spellEnd"/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.</w:t>
      </w:r>
    </w:p>
    <w:p w14:paraId="47D64AAB" w14:textId="6D159573" w:rsidR="00636B6D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Моніторинг якості вищої освіти.</w:t>
      </w:r>
      <w:r w:rsid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 xml:space="preserve"> 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Види і алгоритм проведення моніторингу.</w:t>
      </w:r>
    </w:p>
    <w:p w14:paraId="1E837490" w14:textId="77777777" w:rsidR="007568AE" w:rsidRDefault="00A9620B" w:rsidP="00CF11FA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Освітній моніторинг: принципи, функції, види, завдання.</w:t>
      </w:r>
    </w:p>
    <w:p w14:paraId="79009021" w14:textId="19163ED8" w:rsidR="00CF11FA" w:rsidRPr="00CF11FA" w:rsidRDefault="00CF11FA" w:rsidP="007568A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5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Система забезпечення якості вищої освіти. НАЗЯВО: статус і повноваження.</w:t>
      </w:r>
    </w:p>
    <w:p w14:paraId="18DC120F" w14:textId="77777777" w:rsidR="007568AE" w:rsidRDefault="00CF11FA" w:rsidP="00CF11FA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lastRenderedPageBreak/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6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Основи теорії педагогічних вимірювань. Зони розвитку та технологія співробітництва.</w:t>
      </w:r>
    </w:p>
    <w:p w14:paraId="0D370E69" w14:textId="77777777" w:rsidR="007568AE" w:rsidRDefault="00CF11FA" w:rsidP="00CF11FA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7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Методи та інструменти Критерії оцінювання. Академічна доброчесність та запобігання плагіату. Академічна відповідальність</w:t>
      </w:r>
      <w:r w:rsid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.</w:t>
      </w:r>
    </w:p>
    <w:p w14:paraId="6157A6A6" w14:textId="38B8C74F" w:rsidR="00CF11FA" w:rsidRPr="00CF11FA" w:rsidRDefault="00CF11FA" w:rsidP="00CF11FA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8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EB64E1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Апробація результатів дослідження</w:t>
      </w:r>
      <w:r w:rsid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: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 xml:space="preserve"> </w:t>
      </w:r>
      <w:r w:rsidR="007568AE" w:rsidRP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Методологія розвитку системи управління і гарантії якості освіти у ЗВО</w:t>
      </w:r>
      <w:r w:rsidR="007568AE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 xml:space="preserve">. </w:t>
      </w:r>
    </w:p>
    <w:p w14:paraId="6B7B7DD7" w14:textId="7B97880E" w:rsidR="00E45512" w:rsidRDefault="00E45512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7EBC395D" w14:textId="761A3AE5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7A8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bookmarkStart w:id="1" w:name="_GoBack"/>
      <w:bookmarkEnd w:id="1"/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7568AE">
        <w:rPr>
          <w:rFonts w:ascii="Times New Roman" w:hAnsi="Times New Roman" w:cs="Times New Roman"/>
          <w:sz w:val="26"/>
          <w:szCs w:val="26"/>
          <w:lang w:val="uk-UA"/>
        </w:rPr>
        <w:t>Моніторинг якості освіти у вищій школі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4EA0F82F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0A1D50FA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CF11FA">
        <w:rPr>
          <w:rFonts w:ascii="Times New Roman" w:hAnsi="Times New Roman" w:cs="Times New Roman"/>
          <w:sz w:val="26"/>
          <w:szCs w:val="26"/>
          <w:lang w:val="uk-UA"/>
        </w:rPr>
        <w:t>Основи наукових досліджень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185F6CC7" w14:textId="77777777" w:rsidR="00734CDB" w:rsidRDefault="00A9620B" w:rsidP="00872E8E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587B9712" w:rsidR="00A9620B" w:rsidRPr="00A9620B" w:rsidRDefault="00A9620B" w:rsidP="00872E8E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872E8E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872E8E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723C1D29" w14:textId="77777777" w:rsidR="00734CD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1FDCBC9A" w:rsidR="00A9620B" w:rsidRDefault="00872E8E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620B"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="00A9620B"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A9620B"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1391123A" w14:textId="5E8B3168" w:rsidR="00734CDB" w:rsidRDefault="00734CD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14:paraId="32D9616E" w14:textId="77777777" w:rsidR="00734CDB" w:rsidRPr="00734CDB" w:rsidRDefault="00734CDB" w:rsidP="00734CDB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4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РОЗПОДІЛ БАЛІВ, ЯКІ ОТРИМУЮТЬ СТУДЕНТИ</w:t>
      </w:r>
    </w:p>
    <w:p w14:paraId="04EA5749" w14:textId="2D233149" w:rsidR="00734CDB" w:rsidRDefault="00734CD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134"/>
        <w:gridCol w:w="1134"/>
        <w:gridCol w:w="1134"/>
        <w:gridCol w:w="851"/>
      </w:tblGrid>
      <w:tr w:rsidR="00734CDB" w:rsidRPr="00734CDB" w14:paraId="7BB20BD1" w14:textId="77777777" w:rsidTr="00734CDB">
        <w:tc>
          <w:tcPr>
            <w:tcW w:w="2802" w:type="dxa"/>
            <w:vMerge w:val="restart"/>
            <w:shd w:val="clear" w:color="auto" w:fill="auto"/>
          </w:tcPr>
          <w:p w14:paraId="4F6E29F2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5811" w:type="dxa"/>
            <w:gridSpan w:val="5"/>
          </w:tcPr>
          <w:p w14:paraId="504C0AB2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навчальної роботи здобувачів вищої освіти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432A1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за темою</w:t>
            </w:r>
          </w:p>
        </w:tc>
      </w:tr>
      <w:tr w:rsidR="00734CDB" w:rsidRPr="00734CDB" w14:paraId="05D83CDE" w14:textId="77777777" w:rsidTr="00734CDB">
        <w:tc>
          <w:tcPr>
            <w:tcW w:w="2802" w:type="dxa"/>
            <w:vMerge/>
            <w:shd w:val="clear" w:color="auto" w:fill="auto"/>
          </w:tcPr>
          <w:p w14:paraId="787C46DC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2B76287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Активна робота на лекційному занятті</w:t>
            </w:r>
          </w:p>
        </w:tc>
        <w:tc>
          <w:tcPr>
            <w:tcW w:w="1134" w:type="dxa"/>
            <w:shd w:val="clear" w:color="auto" w:fill="auto"/>
          </w:tcPr>
          <w:p w14:paraId="604BB19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Активна робота на практичному занятті </w:t>
            </w:r>
          </w:p>
        </w:tc>
        <w:tc>
          <w:tcPr>
            <w:tcW w:w="1134" w:type="dxa"/>
            <w:shd w:val="clear" w:color="auto" w:fill="auto"/>
          </w:tcPr>
          <w:p w14:paraId="5685967F" w14:textId="77777777" w:rsid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</w:t>
            </w:r>
          </w:p>
          <w:p w14:paraId="52E8611E" w14:textId="73EFEDE0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тійна</w:t>
            </w:r>
            <w:proofErr w:type="spellEnd"/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 </w:t>
            </w:r>
          </w:p>
        </w:tc>
        <w:tc>
          <w:tcPr>
            <w:tcW w:w="1134" w:type="dxa"/>
          </w:tcPr>
          <w:p w14:paraId="2A6EC440" w14:textId="77777777" w:rsid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</w:t>
            </w:r>
            <w:proofErr w:type="spellEnd"/>
          </w:p>
          <w:p w14:paraId="37E29A62" w14:textId="5DEB642C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дуальне завдання</w:t>
            </w:r>
          </w:p>
        </w:tc>
        <w:tc>
          <w:tcPr>
            <w:tcW w:w="1134" w:type="dxa"/>
            <w:shd w:val="clear" w:color="auto" w:fill="auto"/>
          </w:tcPr>
          <w:p w14:paraId="0B497D51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</w:p>
        </w:tc>
        <w:tc>
          <w:tcPr>
            <w:tcW w:w="851" w:type="dxa"/>
            <w:vMerge/>
            <w:shd w:val="clear" w:color="auto" w:fill="auto"/>
          </w:tcPr>
          <w:p w14:paraId="1D594C7E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4CDB" w:rsidRPr="00734CDB" w14:paraId="2AA780BF" w14:textId="77777777" w:rsidTr="00734CDB">
        <w:tc>
          <w:tcPr>
            <w:tcW w:w="2802" w:type="dxa"/>
            <w:shd w:val="clear" w:color="auto" w:fill="auto"/>
          </w:tcPr>
          <w:p w14:paraId="53A3C1E0" w14:textId="77777777" w:rsidR="00734CDB" w:rsidRPr="00734CDB" w:rsidRDefault="00734CDB" w:rsidP="00734CDB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 w:eastAsia="ru-RU"/>
              </w:rPr>
              <w:t xml:space="preserve">Тема 1. </w:t>
            </w:r>
            <w:proofErr w:type="spellStart"/>
            <w:r w:rsidRPr="00734CDB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>Вступ</w:t>
            </w:r>
            <w:proofErr w:type="spellEnd"/>
            <w:r w:rsidRPr="00734CDB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до </w:t>
            </w:r>
            <w:r w:rsidRPr="00734CDB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val="uk-UA" w:eastAsia="zh-CN" w:bidi="hi-IN"/>
              </w:rPr>
              <w:t>дисципліни</w:t>
            </w:r>
            <w:r w:rsidRPr="00734CDB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. Предмет, мета й </w:t>
            </w:r>
            <w:proofErr w:type="spellStart"/>
            <w:r w:rsidRPr="00734CDB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>завдання</w:t>
            </w:r>
            <w:proofErr w:type="spellEnd"/>
            <w:r w:rsidRPr="00734CDB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val="uk-UA" w:eastAsia="zh-CN" w:bidi="hi-IN"/>
              </w:rPr>
              <w:t>, результати навчання. Функціонування системи вищої освіти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1952D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4C147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7AA2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A170FE8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C9EF2F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97E8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34CDB" w:rsidRPr="00734CDB" w14:paraId="28889FE3" w14:textId="77777777" w:rsidTr="00734CDB">
        <w:tc>
          <w:tcPr>
            <w:tcW w:w="2802" w:type="dxa"/>
            <w:shd w:val="clear" w:color="auto" w:fill="auto"/>
          </w:tcPr>
          <w:p w14:paraId="7702F45A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lastRenderedPageBreak/>
              <w:t xml:space="preserve">Тема 2.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 xml:space="preserve">Якість освіти. Якість підготовки здобувачів як предмет </w:t>
            </w:r>
            <w:proofErr w:type="spellStart"/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дослідження.НРК</w:t>
            </w:r>
            <w:proofErr w:type="spellEnd"/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52026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F2A99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1EC6C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FB7D7F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49AFB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1A8C6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34CDB" w:rsidRPr="00734CDB" w14:paraId="2FBF12CC" w14:textId="77777777" w:rsidTr="00734CDB">
        <w:tc>
          <w:tcPr>
            <w:tcW w:w="2802" w:type="dxa"/>
            <w:shd w:val="clear" w:color="auto" w:fill="auto"/>
          </w:tcPr>
          <w:p w14:paraId="1C6A8CDA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3.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Моніторинг якості вищої освіти.</w:t>
            </w: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Види і алгоритм проведення моніторингу.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A4250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EDCF8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FCAC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982B5A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7F38C2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B13EB2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34CDB" w:rsidRPr="00734CDB" w14:paraId="215F30C7" w14:textId="77777777" w:rsidTr="00734CDB">
        <w:tc>
          <w:tcPr>
            <w:tcW w:w="2802" w:type="dxa"/>
            <w:shd w:val="clear" w:color="auto" w:fill="auto"/>
          </w:tcPr>
          <w:p w14:paraId="5040F7AC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4.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Освітній моніторинг: принципи, функції, види, завдання.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A59F9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A9326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C1603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0A538A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AFDB0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632A6C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34CDB" w:rsidRPr="00734CDB" w14:paraId="518CF056" w14:textId="77777777" w:rsidTr="00734CDB">
        <w:tc>
          <w:tcPr>
            <w:tcW w:w="2802" w:type="dxa"/>
            <w:shd w:val="clear" w:color="auto" w:fill="auto"/>
          </w:tcPr>
          <w:p w14:paraId="5BDEF6F7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5.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 xml:space="preserve">Система забезпечення якості вищої освіти. НАЗЯВО: статус і повноваження.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5562C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793CD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DF3B1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36AAD6F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C56E3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EE1AF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734CDB" w:rsidRPr="00734CDB" w14:paraId="55961634" w14:textId="77777777" w:rsidTr="00734CDB">
        <w:tc>
          <w:tcPr>
            <w:tcW w:w="2802" w:type="dxa"/>
            <w:shd w:val="clear" w:color="auto" w:fill="auto"/>
          </w:tcPr>
          <w:p w14:paraId="26ECEA16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6.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 xml:space="preserve"> Основи теорії педагогічних вимірювань. Зони розвитку та технологія співробітництва.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D1579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DA7BC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8BCE7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723A91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A6931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2391F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34CDB" w:rsidRPr="00734CDB" w14:paraId="5F278C91" w14:textId="77777777" w:rsidTr="00734CDB">
        <w:tc>
          <w:tcPr>
            <w:tcW w:w="2802" w:type="dxa"/>
            <w:shd w:val="clear" w:color="auto" w:fill="auto"/>
          </w:tcPr>
          <w:p w14:paraId="79DEAEB7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7.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 xml:space="preserve"> Методи та інструменти Критерії оцінювання. Академічна доброчесність та запобігання плагіату. Академічна відповідальність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E19CE9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D8F5A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1618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086B50E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CCB73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5F43D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34CDB" w:rsidRPr="00734CDB" w14:paraId="616CEB2F" w14:textId="77777777" w:rsidTr="00734CDB">
        <w:tc>
          <w:tcPr>
            <w:tcW w:w="2802" w:type="dxa"/>
            <w:shd w:val="clear" w:color="auto" w:fill="auto"/>
          </w:tcPr>
          <w:p w14:paraId="0B4890AA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8. </w:t>
            </w:r>
            <w:r w:rsidRPr="00734CDB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Апробація результатів дослідження: Методологія розвитку системи управління і гарантії якості освіти у ЗВО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2722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1CB9B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CF551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9CBEF9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2E1B9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A51B1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34CDB" w:rsidRPr="00734CDB" w14:paraId="579BDCBC" w14:textId="77777777" w:rsidTr="00734CDB">
        <w:tc>
          <w:tcPr>
            <w:tcW w:w="2802" w:type="dxa"/>
            <w:shd w:val="clear" w:color="auto" w:fill="auto"/>
          </w:tcPr>
          <w:p w14:paraId="2A875BE4" w14:textId="77777777" w:rsidR="00734CDB" w:rsidRPr="00734CDB" w:rsidRDefault="00734CDB" w:rsidP="00734CDB">
            <w:pPr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Модульна контрольна робота №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D104C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6FE9D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2A00E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0631CD0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54EB3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8FBAC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734CDB" w:rsidRPr="00734CDB" w14:paraId="27C5F471" w14:textId="77777777" w:rsidTr="00AE17A8">
        <w:trPr>
          <w:trHeight w:val="862"/>
        </w:trPr>
        <w:tc>
          <w:tcPr>
            <w:tcW w:w="2802" w:type="dxa"/>
            <w:shd w:val="clear" w:color="auto" w:fill="auto"/>
          </w:tcPr>
          <w:p w14:paraId="116FFDAE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 w:eastAsia="ru-RU"/>
              </w:rPr>
              <w:t xml:space="preserve">Іспит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63A679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63484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98D82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1C6A11A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1F1300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8B57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734CDB" w:rsidRPr="00734CDB" w14:paraId="3496DDFF" w14:textId="77777777" w:rsidTr="00AE17A8">
        <w:trPr>
          <w:trHeight w:val="704"/>
        </w:trPr>
        <w:tc>
          <w:tcPr>
            <w:tcW w:w="2802" w:type="dxa"/>
            <w:shd w:val="clear" w:color="auto" w:fill="auto"/>
          </w:tcPr>
          <w:p w14:paraId="703F4999" w14:textId="77777777" w:rsidR="00734CDB" w:rsidRPr="00734CDB" w:rsidRDefault="00734CDB" w:rsidP="00734CDB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7556A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48D77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CC6B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vAlign w:val="center"/>
          </w:tcPr>
          <w:p w14:paraId="73C61BEE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A6B6E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81915" w14:textId="77777777" w:rsidR="00734CDB" w:rsidRPr="00734CDB" w:rsidRDefault="00734CDB" w:rsidP="0073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37CA741C" w14:textId="6CD53A20" w:rsidR="007568AE" w:rsidRDefault="007568AE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14:paraId="61F437A1" w14:textId="77777777" w:rsidR="00AE17A8" w:rsidRDefault="00AE17A8" w:rsidP="000321C2">
      <w:pPr>
        <w:widowControl w:val="0"/>
        <w:suppressAutoHyphens/>
        <w:ind w:left="142" w:firstLine="42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14:paraId="4CF597B5" w14:textId="77777777" w:rsidR="00AE17A8" w:rsidRDefault="00AE17A8" w:rsidP="000321C2">
      <w:pPr>
        <w:widowControl w:val="0"/>
        <w:suppressAutoHyphens/>
        <w:ind w:left="142" w:firstLine="42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14:paraId="76AE987A" w14:textId="5C79EFE9" w:rsidR="000321C2" w:rsidRPr="000321C2" w:rsidRDefault="000321C2" w:rsidP="000321C2">
      <w:pPr>
        <w:widowControl w:val="0"/>
        <w:suppressAutoHyphens/>
        <w:ind w:left="142" w:firstLine="42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  <w:r w:rsidRPr="000321C2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0321C2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en-US" w:eastAsia="zh-CN" w:bidi="hi-IN"/>
        </w:rPr>
        <w:t>ECTS</w:t>
      </w:r>
      <w:r w:rsidRPr="000321C2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>)</w:t>
      </w:r>
    </w:p>
    <w:p w14:paraId="231C6FE4" w14:textId="67FE8882" w:rsidR="000321C2" w:rsidRDefault="000321C2" w:rsidP="000321C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tbl>
      <w:tblPr>
        <w:tblW w:w="484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70"/>
        <w:gridCol w:w="669"/>
        <w:gridCol w:w="669"/>
        <w:gridCol w:w="937"/>
        <w:gridCol w:w="1069"/>
        <w:gridCol w:w="937"/>
        <w:gridCol w:w="1069"/>
        <w:gridCol w:w="827"/>
        <w:gridCol w:w="827"/>
        <w:gridCol w:w="827"/>
      </w:tblGrid>
      <w:tr w:rsidR="00734CDB" w:rsidRPr="00734CDB" w14:paraId="5006C1A2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pct"/>
            <w:gridSpan w:val="8"/>
            <w:tcMar>
              <w:left w:w="57" w:type="dxa"/>
              <w:right w:w="57" w:type="dxa"/>
            </w:tcMar>
            <w:vAlign w:val="center"/>
          </w:tcPr>
          <w:p w14:paraId="0B2B4100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Поточне тестування та самостійна робота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  <w:vAlign w:val="center"/>
          </w:tcPr>
          <w:p w14:paraId="156951D4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Підсумкова КР </w:t>
            </w:r>
          </w:p>
        </w:tc>
        <w:tc>
          <w:tcPr>
            <w:tcW w:w="451" w:type="pct"/>
            <w:vAlign w:val="center"/>
          </w:tcPr>
          <w:p w14:paraId="0474E7AB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екзамен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  <w:vAlign w:val="center"/>
          </w:tcPr>
          <w:p w14:paraId="13E840B3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734CDB" w:rsidRPr="00734CDB" w14:paraId="381F7983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pct"/>
            <w:gridSpan w:val="8"/>
            <w:tcMar>
              <w:left w:w="57" w:type="dxa"/>
              <w:right w:w="57" w:type="dxa"/>
            </w:tcMar>
            <w:vAlign w:val="center"/>
          </w:tcPr>
          <w:p w14:paraId="2E3F3CF1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Змістовий модуль 1</w:t>
            </w:r>
          </w:p>
        </w:tc>
        <w:tc>
          <w:tcPr>
            <w:tcW w:w="45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B11C244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vAlign w:val="center"/>
          </w:tcPr>
          <w:p w14:paraId="035686F2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9839608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100</w:t>
            </w:r>
          </w:p>
        </w:tc>
      </w:tr>
      <w:tr w:rsidR="00734CDB" w:rsidRPr="00734CDB" w14:paraId="5795B820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14:paraId="2A8570CE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Т1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5C455CFC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Т2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6C0D1AB1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Т3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4DC5EEC3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Т4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3D658F6C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Т5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7C3C013D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Т6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25088DA7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Т7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542F0952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Т8</w:t>
            </w: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2B857DD6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</w:tcPr>
          <w:p w14:paraId="3B393590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1CC89F58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734CDB" w:rsidRPr="00734CDB" w14:paraId="722D83D5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14:paraId="25C59691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282E0494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08727BAF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2AFF9ADA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2AE47277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20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19080DD5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65076C9C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68DE7A68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30</w:t>
            </w: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3A0ACA8A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</w:tcPr>
          <w:p w14:paraId="4B08D30B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2C952EB4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</w:tbl>
    <w:p w14:paraId="2AC7D784" w14:textId="4FA3B932" w:rsidR="00734CDB" w:rsidRDefault="00734CDB" w:rsidP="000321C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14:paraId="57048FA0" w14:textId="6506CC82" w:rsidR="00734CDB" w:rsidRDefault="00734CDB" w:rsidP="000321C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14:paraId="4E02D2AF" w14:textId="77777777" w:rsidR="00734CDB" w:rsidRPr="00734CDB" w:rsidRDefault="00734CDB" w:rsidP="00734CDB">
      <w:pPr>
        <w:widowControl w:val="0"/>
        <w:suppressAutoHyphens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завдання1 (підготовка виступу із презентацією з теми програми курсу)* входить до ЗМ1, Т5</w:t>
      </w:r>
    </w:p>
    <w:p w14:paraId="50E079D5" w14:textId="77777777" w:rsidR="00734CDB" w:rsidRPr="000321C2" w:rsidRDefault="00734CDB" w:rsidP="000321C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tbl>
      <w:tblPr>
        <w:tblpPr w:leftFromText="180" w:rightFromText="180" w:vertAnchor="text" w:tblpY="105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410"/>
        <w:gridCol w:w="2683"/>
        <w:gridCol w:w="1523"/>
      </w:tblGrid>
      <w:tr w:rsidR="00734CDB" w:rsidRPr="00734CDB" w14:paraId="38775ED5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  <w:vAlign w:val="center"/>
          </w:tcPr>
          <w:p w14:paraId="7BC38FCE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Компоновка виступу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  <w:vAlign w:val="center"/>
          </w:tcPr>
          <w:p w14:paraId="1870CE12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Підготовка презентації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  <w:vAlign w:val="center"/>
          </w:tcPr>
          <w:p w14:paraId="3A9E424F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837" w:type="pct"/>
            <w:tcMar>
              <w:left w:w="57" w:type="dxa"/>
              <w:right w:w="57" w:type="dxa"/>
            </w:tcMar>
            <w:vAlign w:val="center"/>
          </w:tcPr>
          <w:p w14:paraId="6462AC42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734CDB" w:rsidRPr="00734CDB" w14:paraId="44951346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</w:tcPr>
          <w:p w14:paraId="567DD8B6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</w:tcPr>
          <w:p w14:paraId="34EF94F6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</w:tcPr>
          <w:p w14:paraId="663268D9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837" w:type="pct"/>
            <w:tcMar>
              <w:left w:w="57" w:type="dxa"/>
              <w:right w:w="57" w:type="dxa"/>
            </w:tcMar>
          </w:tcPr>
          <w:p w14:paraId="36ED319D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15</w:t>
            </w:r>
          </w:p>
        </w:tc>
      </w:tr>
    </w:tbl>
    <w:p w14:paraId="32A9E3DF" w14:textId="77777777" w:rsidR="000321C2" w:rsidRPr="000321C2" w:rsidRDefault="000321C2" w:rsidP="000321C2">
      <w:pPr>
        <w:widowControl w:val="0"/>
        <w:suppressAutoHyphens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14:paraId="55E924DD" w14:textId="261149F6" w:rsidR="000321C2" w:rsidRDefault="000321C2" w:rsidP="000321C2">
      <w:pPr>
        <w:widowControl w:val="0"/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1DB1B01" w14:textId="77777777" w:rsidR="00734CDB" w:rsidRPr="00734CDB" w:rsidRDefault="00734CDB" w:rsidP="00734CDB">
      <w:pPr>
        <w:widowControl w:val="0"/>
        <w:suppressAutoHyphens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 2 (формування навичок педагогічного оцінювання- наприклад підготовка інструментарію для визначення навчальних досягнень здобувачів на основі підготовки виступу з теми дисципліни</w:t>
      </w:r>
    </w:p>
    <w:p w14:paraId="3DA7B521" w14:textId="77777777" w:rsidR="00734CDB" w:rsidRPr="00734CDB" w:rsidRDefault="00734CDB" w:rsidP="00734CDB">
      <w:pPr>
        <w:widowControl w:val="0"/>
        <w:suppressAutoHyphens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(складання тестових завдань)* входить до ЗМ2, Т8</w:t>
      </w:r>
    </w:p>
    <w:p w14:paraId="65DC7C91" w14:textId="77777777" w:rsidR="00734CDB" w:rsidRPr="00734CDB" w:rsidRDefault="00734CDB" w:rsidP="00734CDB">
      <w:pPr>
        <w:widowControl w:val="0"/>
        <w:suppressAutoHyphens/>
        <w:ind w:left="142" w:firstLine="425"/>
        <w:jc w:val="center"/>
        <w:rPr>
          <w:rFonts w:ascii="Liberation Serif" w:eastAsia="Droid Sans Fallback" w:hAnsi="Liberation Serif" w:cs="FreeSans"/>
          <w:color w:val="00000A"/>
          <w:lang w:val="uk-UA" w:eastAsia="zh-CN" w:bidi="hi-IN"/>
        </w:rPr>
      </w:pPr>
    </w:p>
    <w:p w14:paraId="004F1A91" w14:textId="75BAE8FD" w:rsidR="00734CDB" w:rsidRDefault="00734CDB" w:rsidP="000321C2">
      <w:pPr>
        <w:widowControl w:val="0"/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477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927"/>
        <w:gridCol w:w="1514"/>
        <w:gridCol w:w="2063"/>
        <w:gridCol w:w="828"/>
        <w:gridCol w:w="1113"/>
      </w:tblGrid>
      <w:tr w:rsidR="00734CDB" w:rsidRPr="00734CDB" w14:paraId="038FEF4C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Mar>
              <w:left w:w="57" w:type="dxa"/>
              <w:right w:w="57" w:type="dxa"/>
            </w:tcMar>
            <w:vAlign w:val="center"/>
          </w:tcPr>
          <w:p w14:paraId="1C85DC5D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Визначення теми виступу </w:t>
            </w:r>
          </w:p>
        </w:tc>
        <w:tc>
          <w:tcPr>
            <w:tcW w:w="1059" w:type="pct"/>
            <w:vAlign w:val="center"/>
          </w:tcPr>
          <w:p w14:paraId="56639F12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Інструкція, шкала оцінок, критерії оцінювання, компоновка та змістова частина тесту</w:t>
            </w:r>
          </w:p>
        </w:tc>
        <w:tc>
          <w:tcPr>
            <w:tcW w:w="832" w:type="pct"/>
            <w:tcMar>
              <w:left w:w="57" w:type="dxa"/>
              <w:right w:w="57" w:type="dxa"/>
            </w:tcMar>
            <w:vAlign w:val="center"/>
          </w:tcPr>
          <w:p w14:paraId="46DA53B9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Предтестові</w:t>
            </w:r>
            <w:proofErr w:type="spellEnd"/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 завдання, місце відповіді та різноманітність типів тестових завдань</w:t>
            </w:r>
          </w:p>
        </w:tc>
        <w:tc>
          <w:tcPr>
            <w:tcW w:w="1134" w:type="pct"/>
            <w:tcMar>
              <w:left w:w="57" w:type="dxa"/>
              <w:right w:w="57" w:type="dxa"/>
            </w:tcMar>
            <w:vAlign w:val="center"/>
          </w:tcPr>
          <w:p w14:paraId="40CAC669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Характеристика тесту, наявність правильних </w:t>
            </w:r>
            <w:proofErr w:type="spellStart"/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віповідей</w:t>
            </w:r>
            <w:proofErr w:type="spellEnd"/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3E2A7AB1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612" w:type="pct"/>
            <w:vAlign w:val="center"/>
          </w:tcPr>
          <w:p w14:paraId="7EB1BC40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734CDB" w:rsidRPr="00734CDB" w14:paraId="28B01BEE" w14:textId="77777777" w:rsidTr="0083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Mar>
              <w:left w:w="57" w:type="dxa"/>
              <w:right w:w="57" w:type="dxa"/>
            </w:tcMar>
          </w:tcPr>
          <w:p w14:paraId="43DBD674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059" w:type="pct"/>
            <w:tcMar>
              <w:left w:w="57" w:type="dxa"/>
              <w:right w:w="57" w:type="dxa"/>
            </w:tcMar>
          </w:tcPr>
          <w:p w14:paraId="63BF018C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832" w:type="pct"/>
          </w:tcPr>
          <w:p w14:paraId="31AB36CB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До5</w:t>
            </w:r>
          </w:p>
        </w:tc>
        <w:tc>
          <w:tcPr>
            <w:tcW w:w="1134" w:type="pct"/>
            <w:tcMar>
              <w:left w:w="57" w:type="dxa"/>
              <w:right w:w="57" w:type="dxa"/>
            </w:tcMar>
          </w:tcPr>
          <w:p w14:paraId="1061E8E9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14:paraId="1730D9FC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612" w:type="pct"/>
          </w:tcPr>
          <w:p w14:paraId="482759E2" w14:textId="77777777" w:rsidR="00734CDB" w:rsidRPr="00734CDB" w:rsidRDefault="00734CDB" w:rsidP="00734CDB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734CD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25</w:t>
            </w:r>
          </w:p>
        </w:tc>
      </w:tr>
    </w:tbl>
    <w:p w14:paraId="1E893A95" w14:textId="072C315C" w:rsidR="00734CDB" w:rsidRDefault="00734CDB" w:rsidP="000321C2">
      <w:pPr>
        <w:widowControl w:val="0"/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56E5D3B" w14:textId="77777777" w:rsidR="00734CDB" w:rsidRDefault="00734CDB" w:rsidP="000321C2">
      <w:pPr>
        <w:widowControl w:val="0"/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4D08496" w14:textId="0F65A9EB" w:rsidR="00A9620B" w:rsidRPr="00A9620B" w:rsidRDefault="00A9620B" w:rsidP="000321C2">
      <w:pPr>
        <w:widowControl w:val="0"/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BB7055" w:rsidR="00F1773A" w:rsidRDefault="00A9620B" w:rsidP="000321C2">
      <w:pPr>
        <w:pStyle w:val="10"/>
        <w:widowControl w:val="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</w:t>
      </w:r>
      <w:r w:rsidR="000321C2">
        <w:rPr>
          <w:b w:val="0"/>
          <w:bCs w:val="0"/>
          <w:lang w:val="uk-UA"/>
        </w:rPr>
        <w:t>заліку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6827C4DD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0321C2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0321C2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560"/>
        <w:gridCol w:w="2409"/>
        <w:gridCol w:w="567"/>
        <w:gridCol w:w="2040"/>
      </w:tblGrid>
      <w:tr w:rsidR="004952EA" w:rsidRPr="00A9620B" w14:paraId="1BF6A84D" w14:textId="77777777" w:rsidTr="00664082">
        <w:trPr>
          <w:trHeight w:val="377"/>
        </w:trPr>
        <w:tc>
          <w:tcPr>
            <w:tcW w:w="1702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417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664082">
        <w:trPr>
          <w:trHeight w:val="489"/>
        </w:trPr>
        <w:tc>
          <w:tcPr>
            <w:tcW w:w="1702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664082">
        <w:trPr>
          <w:trHeight w:val="321"/>
        </w:trPr>
        <w:tc>
          <w:tcPr>
            <w:tcW w:w="1702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664082">
        <w:trPr>
          <w:trHeight w:val="1972"/>
        </w:trPr>
        <w:tc>
          <w:tcPr>
            <w:tcW w:w="1702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417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664082">
        <w:trPr>
          <w:trHeight w:val="145"/>
        </w:trPr>
        <w:tc>
          <w:tcPr>
            <w:tcW w:w="1702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417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аргументовані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664082">
        <w:trPr>
          <w:trHeight w:val="145"/>
        </w:trPr>
        <w:tc>
          <w:tcPr>
            <w:tcW w:w="1702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417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664082">
        <w:trPr>
          <w:trHeight w:val="145"/>
        </w:trPr>
        <w:tc>
          <w:tcPr>
            <w:tcW w:w="1702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417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664082">
        <w:trPr>
          <w:trHeight w:val="2807"/>
        </w:trPr>
        <w:tc>
          <w:tcPr>
            <w:tcW w:w="1702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417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664082">
        <w:trPr>
          <w:trHeight w:val="3005"/>
        </w:trPr>
        <w:tc>
          <w:tcPr>
            <w:tcW w:w="1702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417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664082">
        <w:trPr>
          <w:trHeight w:val="2793"/>
        </w:trPr>
        <w:tc>
          <w:tcPr>
            <w:tcW w:w="1702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417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D9FC718" w14:textId="18ECEDC0" w:rsid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5469A961" w14:textId="77777777" w:rsidR="00734CDB" w:rsidRDefault="00734CDB" w:rsidP="00734CDB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4902302F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</w:pPr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 xml:space="preserve">Закон України «Про освіту». Відомості Верховної ради України. 2019. №2657-VIII. 2661 – VIII. URL : </w:t>
      </w:r>
      <w:hyperlink r:id="rId9" w:history="1">
        <w:r w:rsidRPr="00734CDB">
          <w:rPr>
            <w:rFonts w:ascii="Liberation Serif" w:eastAsia="Calibri" w:hAnsi="Liberation Serif" w:cs="FreeSans"/>
            <w:color w:val="0563C1"/>
            <w:sz w:val="24"/>
            <w:szCs w:val="24"/>
            <w:u w:val="single"/>
            <w:shd w:val="clear" w:color="auto" w:fill="FFFFFF"/>
            <w:lang w:val="uk-UA" w:eastAsia="zh-CN" w:bidi="hi-IN"/>
          </w:rPr>
          <w:t>https://zakon.rada.gov.ua/laws/show/2145-19</w:t>
        </w:r>
      </w:hyperlink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>.</w:t>
      </w:r>
    </w:p>
    <w:p w14:paraId="73FF5583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 України «Про вищу освіту» (Відомості Верховної Ради (ВВР), 2014, № 37-38, ст.2004). 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</w:t>
      </w:r>
      <w:hyperlink r:id="rId10" w:anchor="Text" w:history="1">
        <w:r w:rsidRPr="00734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https://zakon.rada.gov.ua/laws/show/1556-18#Text</w:t>
        </w:r>
      </w:hyperlink>
    </w:p>
    <w:p w14:paraId="258065A6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«Концепція розвитку освіти України на період 2015–2025 років». На сайті: Освітня політика: портал громадських експертів. </w:t>
      </w:r>
      <w:proofErr w:type="gramStart"/>
      <w:r w:rsidRPr="00734CD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73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proofErr w:type="gram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http://education-ua.org/ua/draft-regulations/319-proekt-kontseptsiya-rozvitku-osviti-ukrajini-na-period-2015-2025-rokiv</w:t>
      </w:r>
    </w:p>
    <w:p w14:paraId="49C849E0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</w:pPr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 xml:space="preserve">Розвиток освіти і науки України – у фокусі плану пріоритетних дій Уряду на 2021 рік. Сайт МОН України. </w:t>
      </w:r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en-US" w:eastAsia="zh-CN" w:bidi="hi-IN"/>
        </w:rPr>
        <w:t>URL</w:t>
      </w:r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eastAsia="zh-CN" w:bidi="hi-IN"/>
        </w:rPr>
        <w:t xml:space="preserve"> : </w:t>
      </w:r>
      <w:hyperlink r:id="rId11" w:history="1">
        <w:r w:rsidRPr="00734CDB">
          <w:rPr>
            <w:rFonts w:ascii="Liberation Serif" w:eastAsia="Calibri" w:hAnsi="Liberation Serif" w:cs="FreeSans"/>
            <w:color w:val="0563C1"/>
            <w:sz w:val="24"/>
            <w:szCs w:val="24"/>
            <w:u w:val="single"/>
            <w:shd w:val="clear" w:color="auto" w:fill="FFFFFF"/>
            <w:lang w:val="uk-UA" w:eastAsia="zh-CN" w:bidi="hi-IN"/>
          </w:rPr>
          <w:t>https://mon.gov.ua/ua/news/rozvitok-osviti-i-nauki-ukrayini-u-fokusi-planu-prioritetnih-dij-uryadu-na-2021-rik</w:t>
        </w:r>
      </w:hyperlink>
    </w:p>
    <w:p w14:paraId="23C6F589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</w:pPr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 xml:space="preserve">Системний підхід у вищій освіті: 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навч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посіб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./автори-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упоряд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. Кочубей Т.Д., Іващенко К.В. – Умань: ПП Жовтий О.О., 2014. – 131с. – (серія «Педагогіка вищої школи»)(</w:t>
      </w:r>
    </w:p>
    <w:p w14:paraId="22C65679" w14:textId="77777777" w:rsidR="00734CDB" w:rsidRPr="00734CDB" w:rsidRDefault="00734CDB" w:rsidP="00734CDB">
      <w:pPr>
        <w:widowControl w:val="0"/>
        <w:numPr>
          <w:ilvl w:val="0"/>
          <w:numId w:val="8"/>
        </w:numPr>
        <w:tabs>
          <w:tab w:val="left" w:pos="0"/>
          <w:tab w:val="left" w:pos="34"/>
        </w:tabs>
        <w:suppressAutoHyphens/>
        <w:ind w:left="0" w:firstLine="426"/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</w:pPr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Сучасна освіта України: державно управлінський аспект: монографія /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Грень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 xml:space="preserve"> Л.М., 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Вавренюк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 xml:space="preserve"> С.А., Алієва П.І.. Харків: ФОП Іванченко І.С.,2021. – 292 с. </w:t>
      </w:r>
    </w:p>
    <w:p w14:paraId="2DF0214C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ind w:left="0" w:firstLine="426"/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</w:pPr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 xml:space="preserve"> Конструювання тестів. Курс лекцій: 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навч.посіб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Л.О.Кухар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 xml:space="preserve">, </w:t>
      </w:r>
      <w:proofErr w:type="spellStart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В.П.Сергієнко</w:t>
      </w:r>
      <w:proofErr w:type="spellEnd"/>
      <w:r w:rsidRPr="00734CDB">
        <w:rPr>
          <w:rFonts w:ascii="Times New Roman" w:eastAsia="Droid Sans Fallback" w:hAnsi="Times New Roman" w:cs="FreeSans"/>
          <w:color w:val="00000A"/>
          <w:sz w:val="24"/>
          <w:szCs w:val="24"/>
          <w:lang w:val="uk-UA" w:eastAsia="zh-CN" w:bidi="hi-IN"/>
        </w:rPr>
        <w:t>. – Луцьк, 2010. – 18 с.</w:t>
      </w:r>
    </w:p>
    <w:p w14:paraId="0E429FE3" w14:textId="4243CE1A" w:rsidR="00AE17A8" w:rsidRDefault="00734CDB" w:rsidP="00AE17A8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Національне агентство із забезпечення якості вищої освіти. URL :  </w:t>
      </w:r>
      <w:hyperlink r:id="rId12" w:history="1">
        <w:r w:rsidR="00AE17A8" w:rsidRPr="009E331B">
          <w:rPr>
            <w:rStyle w:val="a9"/>
            <w:rFonts w:ascii="Times New Roman" w:eastAsia="Times New Roman" w:hAnsi="Times New Roman" w:cs="Times New Roman"/>
            <w:sz w:val="24"/>
            <w:szCs w:val="24"/>
            <w:lang w:val="uk-UA"/>
          </w:rPr>
          <w:t>https://naqa.gov.ua/</w:t>
        </w:r>
      </w:hyperlink>
    </w:p>
    <w:p w14:paraId="016047CE" w14:textId="77777777" w:rsidR="00734CDB" w:rsidRPr="00734CDB" w:rsidRDefault="00734CDB" w:rsidP="00734CDB">
      <w:pPr>
        <w:widowControl w:val="0"/>
        <w:numPr>
          <w:ilvl w:val="0"/>
          <w:numId w:val="8"/>
        </w:numPr>
        <w:tabs>
          <w:tab w:val="left" w:pos="1246"/>
        </w:tabs>
        <w:suppressAutoHyphens/>
        <w:autoSpaceDE w:val="0"/>
        <w:autoSpaceDN w:val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 засади реалізації Болонського процесу в Україні: монографія /</w:t>
      </w:r>
      <w:r w:rsidRPr="00734CDB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Колектив авторів: Бугров В.,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Гожик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та ін.; за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. ред. В. Лугового, С. 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Калашнікової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. Київ : ДП «НВЦ «Пріоритети», 2014, 156 с.</w:t>
      </w:r>
    </w:p>
    <w:p w14:paraId="65AF4A6E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Національну доктрину розвитку освіти. 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 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: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/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HYPERLINK "https://zakon.rada.gov.ua/laws/show/347/2002" \l "Text" </w:instrTex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734C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>https</w:t>
      </w:r>
      <w:proofErr w:type="spellEnd"/>
      <w:r w:rsidRPr="00734C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>://zakon.rada.gov.ua/</w:t>
      </w:r>
      <w:proofErr w:type="spellStart"/>
      <w:r w:rsidRPr="00734C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>laws</w:t>
      </w:r>
      <w:proofErr w:type="spellEnd"/>
      <w:r w:rsidRPr="00734C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>/</w:t>
      </w:r>
      <w:proofErr w:type="spellStart"/>
      <w:r w:rsidRPr="00734C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>show</w:t>
      </w:r>
      <w:proofErr w:type="spellEnd"/>
      <w:r w:rsidRPr="00734C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>/347/2002#Text</w:t>
      </w:r>
      <w:r w:rsidRPr="00734C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fldChar w:fldCharType="end"/>
      </w:r>
    </w:p>
    <w:p w14:paraId="10C73854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jc w:val="both"/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</w:pPr>
      <w:proofErr w:type="spellStart"/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>Чернікова</w:t>
      </w:r>
      <w:proofErr w:type="spellEnd"/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 xml:space="preserve"> Л. Ф. Розвиток освіти в сучасній Україні. </w:t>
      </w:r>
      <w:proofErr w:type="spellStart"/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>Освітньо</w:t>
      </w:r>
      <w:proofErr w:type="spellEnd"/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 xml:space="preserve">-правовий аспект. </w:t>
      </w:r>
      <w:proofErr w:type="spellStart"/>
      <w:r w:rsidRPr="00734CDB">
        <w:rPr>
          <w:rFonts w:ascii="Liberation Serif" w:eastAsia="Calibri" w:hAnsi="Liberation Serif" w:cs="FreeSans"/>
          <w:i/>
          <w:color w:val="000000"/>
          <w:sz w:val="24"/>
          <w:szCs w:val="24"/>
          <w:shd w:val="clear" w:color="auto" w:fill="FFFFFF"/>
          <w:lang w:val="uk-UA" w:eastAsia="zh-CN" w:bidi="hi-IN"/>
        </w:rPr>
        <w:t>Вопросы</w:t>
      </w:r>
      <w:proofErr w:type="spellEnd"/>
      <w:r w:rsidRPr="00734CDB">
        <w:rPr>
          <w:rFonts w:ascii="Liberation Serif" w:eastAsia="Calibri" w:hAnsi="Liberation Serif" w:cs="FreeSans"/>
          <w:i/>
          <w:color w:val="000000"/>
          <w:sz w:val="24"/>
          <w:szCs w:val="24"/>
          <w:shd w:val="clear" w:color="auto" w:fill="FFFFFF"/>
          <w:lang w:val="uk-UA" w:eastAsia="zh-CN" w:bidi="hi-IN"/>
        </w:rPr>
        <w:t xml:space="preserve"> </w:t>
      </w:r>
      <w:proofErr w:type="spellStart"/>
      <w:r w:rsidRPr="00734CDB">
        <w:rPr>
          <w:rFonts w:ascii="Liberation Serif" w:eastAsia="Calibri" w:hAnsi="Liberation Serif" w:cs="FreeSans"/>
          <w:i/>
          <w:color w:val="000000"/>
          <w:sz w:val="24"/>
          <w:szCs w:val="24"/>
          <w:shd w:val="clear" w:color="auto" w:fill="FFFFFF"/>
          <w:lang w:val="uk-UA" w:eastAsia="zh-CN" w:bidi="hi-IN"/>
        </w:rPr>
        <w:t>духовной</w:t>
      </w:r>
      <w:proofErr w:type="spellEnd"/>
      <w:r w:rsidRPr="00734CDB">
        <w:rPr>
          <w:rFonts w:ascii="Liberation Serif" w:eastAsia="Calibri" w:hAnsi="Liberation Serif" w:cs="FreeSans"/>
          <w:i/>
          <w:color w:val="000000"/>
          <w:sz w:val="24"/>
          <w:szCs w:val="24"/>
          <w:shd w:val="clear" w:color="auto" w:fill="FFFFFF"/>
          <w:lang w:val="uk-UA" w:eastAsia="zh-CN" w:bidi="hi-IN"/>
        </w:rPr>
        <w:t xml:space="preserve"> </w:t>
      </w:r>
      <w:proofErr w:type="spellStart"/>
      <w:r w:rsidRPr="00734CDB">
        <w:rPr>
          <w:rFonts w:ascii="Liberation Serif" w:eastAsia="Calibri" w:hAnsi="Liberation Serif" w:cs="FreeSans"/>
          <w:i/>
          <w:color w:val="000000"/>
          <w:sz w:val="24"/>
          <w:szCs w:val="24"/>
          <w:shd w:val="clear" w:color="auto" w:fill="FFFFFF"/>
          <w:lang w:val="uk-UA" w:eastAsia="zh-CN" w:bidi="hi-IN"/>
        </w:rPr>
        <w:t>культуры</w:t>
      </w:r>
      <w:proofErr w:type="spellEnd"/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 xml:space="preserve">. Київ, 2015. URL : </w:t>
      </w:r>
      <w:hyperlink r:id="rId13" w:history="1">
        <w:r w:rsidRPr="00734CDB">
          <w:rPr>
            <w:rFonts w:ascii="Liberation Serif" w:eastAsia="Calibri" w:hAnsi="Liberation Serif" w:cs="FreeSans"/>
            <w:color w:val="0563C1"/>
            <w:sz w:val="24"/>
            <w:szCs w:val="24"/>
            <w:u w:val="single"/>
            <w:shd w:val="clear" w:color="auto" w:fill="FFFFFF"/>
            <w:lang w:val="uk-UA" w:eastAsia="zh-CN" w:bidi="hi-IN"/>
          </w:rPr>
          <w:t>http://dspace.nbuv.gov.ua/bitstream/handle/123456789/92838/49-Chernikova.pdf?sequence=1</w:t>
        </w:r>
      </w:hyperlink>
    </w:p>
    <w:p w14:paraId="45C8AFB4" w14:textId="77777777" w:rsidR="00734CDB" w:rsidRPr="00734CDB" w:rsidRDefault="00734CDB" w:rsidP="00734CD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Кінаш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І.П. Якість освіти як результат, процес та освітня система. </w:t>
      </w:r>
      <w:r w:rsidRPr="00734CD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Науковий вісник НЛТУ України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. наук.‐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техн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праць. Львів, Україна: РВВ НЛТУ України, 2011.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21.5, С. 363-36. </w:t>
      </w:r>
    </w:p>
    <w:p w14:paraId="3F096747" w14:textId="77777777" w:rsidR="00734CDB" w:rsidRPr="00734CDB" w:rsidRDefault="00734CDB" w:rsidP="00734CDB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426"/>
        <w:contextualSpacing/>
        <w:jc w:val="both"/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</w:pPr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>Яровенко Т. С. Тенденції та проблеми розвитку освіти в Україні.</w:t>
      </w:r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734CDB">
        <w:rPr>
          <w:rFonts w:ascii="Liberation Serif" w:eastAsia="Calibri" w:hAnsi="Liberation Serif" w:cs="FreeSans"/>
          <w:i/>
          <w:color w:val="000000"/>
          <w:sz w:val="24"/>
          <w:szCs w:val="24"/>
          <w:shd w:val="clear" w:color="auto" w:fill="FFFFFF"/>
          <w:lang w:val="uk-UA" w:eastAsia="zh-CN" w:bidi="hi-IN"/>
        </w:rPr>
        <w:t>Економічний вісник НТУУ «КПІ»</w:t>
      </w:r>
      <w:r w:rsidRPr="00734CDB">
        <w:rPr>
          <w:rFonts w:ascii="Liberation Serif" w:eastAsia="Calibri" w:hAnsi="Liberation Serif" w:cs="FreeSans"/>
          <w:color w:val="000000"/>
          <w:sz w:val="24"/>
          <w:szCs w:val="24"/>
          <w:shd w:val="clear" w:color="auto" w:fill="FFFFFF"/>
          <w:lang w:val="uk-UA" w:eastAsia="zh-CN" w:bidi="hi-IN"/>
        </w:rPr>
        <w:t>. Дніпро, 2016. С. 167-172.</w:t>
      </w:r>
    </w:p>
    <w:p w14:paraId="66CBF54B" w14:textId="77777777" w:rsidR="00734CDB" w:rsidRPr="00734CDB" w:rsidRDefault="00734CDB" w:rsidP="00734CDB">
      <w:pPr>
        <w:widowControl w:val="0"/>
        <w:numPr>
          <w:ilvl w:val="0"/>
          <w:numId w:val="8"/>
        </w:numPr>
        <w:tabs>
          <w:tab w:val="left" w:pos="1366"/>
        </w:tabs>
        <w:suppressAutoHyphens/>
        <w:autoSpaceDE w:val="0"/>
        <w:autoSpaceDN w:val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Національний освітній глосарій: вища освіта /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.-уклад. : В.М. Захарченко, С.А.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Калашнікова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В. І. Луговий та ін. / За ред.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В.Г.Кременя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2-е вид., перероб. і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. Київ : ТОВ «Видавничий дім «Плеяди», 2014. 100 с.</w:t>
      </w:r>
    </w:p>
    <w:p w14:paraId="398E2AAB" w14:textId="1AD6C3B7" w:rsidR="00734CDB" w:rsidRPr="00734CDB" w:rsidRDefault="00734CDB" w:rsidP="00734CD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Падалка О.С.,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Каленюк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 Економіка освіти та управління: посібник. Київ : Педагогічна думка, 2012. 184 с.</w:t>
      </w:r>
    </w:p>
    <w:p w14:paraId="1E07B598" w14:textId="77777777" w:rsidR="00734CDB" w:rsidRPr="00734CDB" w:rsidRDefault="00734CDB" w:rsidP="00734CDB">
      <w:pPr>
        <w:widowControl w:val="0"/>
        <w:numPr>
          <w:ilvl w:val="0"/>
          <w:numId w:val="8"/>
        </w:numPr>
        <w:tabs>
          <w:tab w:val="left" w:pos="1246"/>
        </w:tabs>
        <w:suppressAutoHyphens/>
        <w:autoSpaceDE w:val="0"/>
        <w:autoSpaceDN w:val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рекомендації зі складання тестових завдань / уклад. В.П. Сергієнко, Л.О. Кухар. Київ : НПУ, 2011. 41 с.</w:t>
      </w:r>
    </w:p>
    <w:p w14:paraId="28CE4909" w14:textId="77777777" w:rsidR="00734CDB" w:rsidRPr="00734CDB" w:rsidRDefault="00734CDB" w:rsidP="00734CD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Андріяко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Конкурентоспроможність як прояв </w:t>
      </w:r>
      <w:proofErr w:type="spellStart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>акмеологічної</w:t>
      </w:r>
      <w:proofErr w:type="spellEnd"/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 особистості. </w:t>
      </w:r>
      <w:r w:rsidRPr="00734CD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Рідна школа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2011. № 10. С. 64–67. 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73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hyperlink r:id="rId14" w:history="1">
        <w:r w:rsidRPr="00734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http://nbuv.gov.ua/UJRN/rsh_2011_10_20</w:t>
        </w:r>
      </w:hyperlink>
      <w:r w:rsidRPr="0073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CD49652" w14:textId="77777777" w:rsidR="00734CDB" w:rsidRPr="00734CDB" w:rsidRDefault="00734CDB" w:rsidP="00734CD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ind w:left="0" w:firstLine="426"/>
        <w:contextualSpacing/>
        <w:jc w:val="both"/>
        <w:textAlignment w:val="baseline"/>
        <w:rPr>
          <w:rFonts w:ascii="Liberation Serif" w:eastAsia="Droid Sans Fallback" w:hAnsi="Liberation Serif" w:cs="FreeSans"/>
          <w:b/>
          <w:color w:val="333333"/>
          <w:sz w:val="24"/>
          <w:szCs w:val="24"/>
          <w:lang w:val="uk-UA" w:eastAsia="ru-RU" w:bidi="hi-IN"/>
        </w:rPr>
      </w:pPr>
      <w:proofErr w:type="spellStart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Ярощук</w:t>
      </w:r>
      <w:proofErr w:type="spellEnd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 xml:space="preserve"> Лілія. Основи педагогічних вимірювань та моніторингу якості освіти: </w:t>
      </w:r>
      <w:proofErr w:type="spellStart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навч</w:t>
      </w:r>
      <w:proofErr w:type="spellEnd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посіб</w:t>
      </w:r>
      <w:proofErr w:type="spellEnd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 xml:space="preserve">. /Лілія Григорівна </w:t>
      </w:r>
      <w:proofErr w:type="spellStart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Ярощук</w:t>
      </w:r>
      <w:proofErr w:type="spellEnd"/>
      <w:r w:rsidRPr="00734CDB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. – Бердянськ: Видавець Ткачук О.В., 2010.</w:t>
      </w:r>
    </w:p>
    <w:p w14:paraId="098C1841" w14:textId="3E469150" w:rsidR="00734CDB" w:rsidRDefault="00734CDB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14:paraId="34418A0C" w14:textId="77777777" w:rsidR="00AE17A8" w:rsidRDefault="00AE17A8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14:paraId="1220E95E" w14:textId="5159BBFC"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7A8D9347" w14:textId="77777777" w:rsidR="00AE17A8" w:rsidRPr="00A9620B" w:rsidRDefault="00AE17A8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A9620B" w14:paraId="14AFE7E2" w14:textId="77777777" w:rsidTr="005F3A70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35B22760" w:rsidR="00C82462" w:rsidRPr="00664082" w:rsidRDefault="0066408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664082">
              <w:rPr>
                <w:rFonts w:eastAsia="Times New Roman"/>
                <w:color w:val="00000A"/>
                <w:spacing w:val="0"/>
                <w:lang w:val="uk-UA" w:eastAsia="zh-CN" w:bidi="hi-IN"/>
              </w:rPr>
              <w:t>Дидактичні системи та освітні технології у вищій школі</w:t>
            </w:r>
          </w:p>
        </w:tc>
      </w:tr>
      <w:tr w:rsidR="00C82462" w:rsidRPr="00A9620B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00120B72" w:rsidR="00C82462" w:rsidRPr="00567BCE" w:rsidRDefault="0066408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664082">
              <w:rPr>
                <w:bCs/>
                <w:lang w:val="uk-UA" w:eastAsia="uk-UA"/>
              </w:rPr>
              <w:t xml:space="preserve">Управління </w:t>
            </w:r>
            <w:proofErr w:type="spellStart"/>
            <w:r w:rsidRPr="00664082">
              <w:rPr>
                <w:bCs/>
                <w:lang w:val="uk-UA" w:eastAsia="uk-UA"/>
              </w:rPr>
              <w:t>проєктами</w:t>
            </w:r>
            <w:proofErr w:type="spellEnd"/>
            <w:r w:rsidRPr="00664082">
              <w:rPr>
                <w:bCs/>
                <w:lang w:val="uk-UA" w:eastAsia="uk-UA"/>
              </w:rPr>
              <w:t xml:space="preserve"> в освіті</w:t>
            </w:r>
          </w:p>
        </w:tc>
      </w:tr>
      <w:tr w:rsidR="00C82462" w:rsidRPr="00A9620B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61FE2C68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A9620B" w:rsidRPr="00734CDB">
        <w:rPr>
          <w:bCs/>
          <w:lang w:val="uk-UA" w:eastAsia="uk-UA"/>
        </w:rPr>
        <w:t xml:space="preserve">проф. </w:t>
      </w:r>
      <w:r w:rsidR="00E739DF" w:rsidRPr="00734CDB">
        <w:rPr>
          <w:bCs/>
          <w:lang w:val="uk-UA" w:eastAsia="uk-UA"/>
        </w:rPr>
        <w:t>Ольга ІГНАТЮК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sectPr w:rsidR="00F1773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7" w15:restartNumberingAfterBreak="0">
    <w:nsid w:val="7C1F04F5"/>
    <w:multiLevelType w:val="hybridMultilevel"/>
    <w:tmpl w:val="8F8A1A94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02933"/>
    <w:rsid w:val="000321C2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64082"/>
    <w:rsid w:val="006707BB"/>
    <w:rsid w:val="0073127A"/>
    <w:rsid w:val="00734CDB"/>
    <w:rsid w:val="007568AE"/>
    <w:rsid w:val="00756924"/>
    <w:rsid w:val="0075697D"/>
    <w:rsid w:val="00794B79"/>
    <w:rsid w:val="007966A3"/>
    <w:rsid w:val="00872E8E"/>
    <w:rsid w:val="00926663"/>
    <w:rsid w:val="00934556"/>
    <w:rsid w:val="00983D89"/>
    <w:rsid w:val="00996C39"/>
    <w:rsid w:val="00A31A46"/>
    <w:rsid w:val="00A70257"/>
    <w:rsid w:val="00A9620B"/>
    <w:rsid w:val="00AD2C51"/>
    <w:rsid w:val="00AE17A8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CF11FA"/>
    <w:rsid w:val="00D04431"/>
    <w:rsid w:val="00DC3A30"/>
    <w:rsid w:val="00DD246B"/>
    <w:rsid w:val="00DD632A"/>
    <w:rsid w:val="00E45512"/>
    <w:rsid w:val="00E739DF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4DE03797-FAB6-4FE1-8092-A096366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space.nbuv.gov.ua/bitstream/handle/123456789/92838/49-Chernikova.pdf?sequence=1" TargetMode="External"/><Relationship Id="rId3" Type="http://schemas.openxmlformats.org/officeDocument/2006/relationships/styles" Target="styles.xml"/><Relationship Id="rId7" Type="http://schemas.openxmlformats.org/officeDocument/2006/relationships/hyperlink" Target="mailto:Olha.Ihnatiuk@khpi.edu.ua" TargetMode="External"/><Relationship Id="rId12" Type="http://schemas.openxmlformats.org/officeDocument/2006/relationships/hyperlink" Target="https://naqa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lgaignatyuk2016@gmail.com" TargetMode="External"/><Relationship Id="rId11" Type="http://schemas.openxmlformats.org/officeDocument/2006/relationships/hyperlink" Target="https://mon.gov.ua/ua/news/rozvitok-osviti-i-nauki-ukrayini-u-fokusi-planu-prioritetnih-dij-uryadu-na-2021-r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556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://nbuv.gov.ua/UJRN/rsh_2011_10_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0E5F-0F1E-4B7F-BF82-B1F9B27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Ольга Игнатюк</cp:lastModifiedBy>
  <cp:revision>9</cp:revision>
  <cp:lastPrinted>2019-10-17T12:36:00Z</cp:lastPrinted>
  <dcterms:created xsi:type="dcterms:W3CDTF">2021-09-13T07:08:00Z</dcterms:created>
  <dcterms:modified xsi:type="dcterms:W3CDTF">2022-01-22T23:56:00Z</dcterms:modified>
</cp:coreProperties>
</file>