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F" w:rsidRDefault="00B277BF" w:rsidP="00B277BF">
      <w:pPr>
        <w:widowControl w:val="0"/>
        <w:tabs>
          <w:tab w:val="left" w:pos="9355"/>
        </w:tabs>
        <w:autoSpaceDE w:val="0"/>
        <w:autoSpaceDN w:val="0"/>
        <w:spacing w:before="192" w:after="0" w:line="240" w:lineRule="auto"/>
        <w:ind w:right="-1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B277BF" w:rsidRPr="00FF1F6B" w:rsidRDefault="00B277BF" w:rsidP="00B277BF">
      <w:pPr>
        <w:widowControl w:val="0"/>
        <w:tabs>
          <w:tab w:val="left" w:pos="9355"/>
        </w:tabs>
        <w:autoSpaceDE w:val="0"/>
        <w:autoSpaceDN w:val="0"/>
        <w:spacing w:before="192" w:after="0" w:line="240" w:lineRule="auto"/>
        <w:ind w:right="-1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FF1F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gramStart"/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</w:t>
      </w:r>
      <w:proofErr w:type="gramEnd"/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ІЧНИЙ</w:t>
      </w:r>
      <w:r w:rsidRPr="00FF1F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B277BF" w:rsidRPr="00FF1F6B" w:rsidRDefault="00B277BF" w:rsidP="00B277BF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1F6B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FF1F6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sz w:val="28"/>
        </w:rPr>
        <w:t>ПОЛІ</w:t>
      </w:r>
      <w:proofErr w:type="gramStart"/>
      <w:r w:rsidRPr="00FF1F6B">
        <w:rPr>
          <w:rFonts w:ascii="Times New Roman" w:eastAsia="Times New Roman" w:hAnsi="Times New Roman" w:cs="Times New Roman"/>
          <w:b/>
          <w:sz w:val="28"/>
        </w:rPr>
        <w:t>ТЕХН</w:t>
      </w:r>
      <w:proofErr w:type="gramEnd"/>
      <w:r w:rsidRPr="00FF1F6B">
        <w:rPr>
          <w:rFonts w:ascii="Times New Roman" w:eastAsia="Times New Roman" w:hAnsi="Times New Roman" w:cs="Times New Roman"/>
          <w:b/>
          <w:sz w:val="28"/>
        </w:rPr>
        <w:t>ІЧНИЙ</w:t>
      </w:r>
      <w:r w:rsidRPr="00FF1F6B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B277BF" w:rsidRPr="00FF1F6B" w:rsidRDefault="00B277BF" w:rsidP="00B277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B277BF" w:rsidRDefault="00B277BF" w:rsidP="00B277BF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FF1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Педагогіки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психології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управління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соц</w:t>
      </w:r>
      <w:proofErr w:type="gram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іальними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системами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імені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академіка</w:t>
      </w:r>
      <w:proofErr w:type="spellEnd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І.А. </w:t>
      </w:r>
      <w:proofErr w:type="spellStart"/>
      <w:r w:rsidRPr="005D2F99">
        <w:rPr>
          <w:rFonts w:ascii="Times New Roman" w:eastAsia="Calibri" w:hAnsi="Times New Roman" w:cs="Times New Roman"/>
          <w:sz w:val="28"/>
          <w:szCs w:val="28"/>
          <w:u w:val="single"/>
        </w:rPr>
        <w:t>Зязюна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77BF" w:rsidRPr="00B277BF" w:rsidRDefault="00B277BF" w:rsidP="00B277BF">
      <w:pPr>
        <w:widowControl w:val="0"/>
        <w:tabs>
          <w:tab w:val="left" w:pos="3184"/>
          <w:tab w:val="left" w:pos="9030"/>
          <w:tab w:val="left" w:pos="10020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FF1F6B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FF1F6B">
        <w:rPr>
          <w:rFonts w:ascii="Times New Roman" w:eastAsia="Times New Roman" w:hAnsi="Times New Roman" w:cs="Times New Roman"/>
          <w:sz w:val="28"/>
          <w:szCs w:val="28"/>
        </w:rPr>
        <w:t>іальність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053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Психологія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277BF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:rsidR="00B277BF" w:rsidRDefault="00B277BF" w:rsidP="00B277BF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Освітня</w:t>
      </w:r>
      <w:proofErr w:type="spellEnd"/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053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Психологія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77BF" w:rsidRDefault="00B277BF" w:rsidP="00B277BF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F1F6B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>денна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>заочна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77BF" w:rsidRDefault="00B277BF" w:rsidP="00B277BF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w w:val="41"/>
          <w:sz w:val="28"/>
          <w:szCs w:val="28"/>
          <w:u w:val="single"/>
          <w:lang w:val="uk-UA"/>
        </w:rPr>
      </w:pPr>
      <w:r w:rsidRPr="00FF1F6B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 w:rsidRPr="00FF1F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дисциплі</w:t>
      </w:r>
      <w:proofErr w:type="gramStart"/>
      <w:r w:rsidRPr="00FF1F6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Педагогічна психологія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1F6B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</w:p>
    <w:p w:rsidR="00B277BF" w:rsidRPr="00B277BF" w:rsidRDefault="00B277BF" w:rsidP="00B277BF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 w:after="0" w:line="24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</w:p>
    <w:p w:rsidR="00B277BF" w:rsidRPr="00FF1F6B" w:rsidRDefault="00B277BF" w:rsidP="00B27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277BF" w:rsidRPr="00FF1F6B" w:rsidRDefault="00B277BF" w:rsidP="00B277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277BF" w:rsidRPr="005D2F99" w:rsidRDefault="00B277BF" w:rsidP="00B277BF">
      <w:pPr>
        <w:widowControl w:val="0"/>
        <w:autoSpaceDE w:val="0"/>
        <w:autoSpaceDN w:val="0"/>
        <w:spacing w:before="235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FF1F6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ЗАЛІКУ</w:t>
      </w:r>
      <w:r w:rsidRPr="00FF1F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gramStart"/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FF1F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ПЕДАГОГІЧНА ПСИХОЛОГІЯ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77BF" w:rsidRPr="00FF1F6B" w:rsidRDefault="00B277BF" w:rsidP="00B277BF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277BF" w:rsidRPr="00FF1F6B" w:rsidRDefault="00B277BF" w:rsidP="00B277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B277BF" w:rsidRPr="00FF1F6B" w:rsidRDefault="00B277BF" w:rsidP="00B277BF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FF1F6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27</w:t>
      </w:r>
      <w:r w:rsidRPr="00FF1F6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77BF" w:rsidRPr="00FF1F6B" w:rsidRDefault="00B277BF" w:rsidP="00B277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7BF" w:rsidRPr="00FF1F6B" w:rsidRDefault="00B277BF" w:rsidP="00B277BF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 w:rsidRPr="00FF1F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1F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FF1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</w:p>
    <w:p w:rsidR="00B277BF" w:rsidRPr="00FF1F6B" w:rsidRDefault="00B277BF" w:rsidP="00B277BF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FF1F6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№ 5від</w:t>
      </w:r>
      <w:r w:rsidRPr="00FF1F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1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</w:t>
      </w:r>
      <w:r w:rsidRPr="00FF1F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B21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листопада</w:t>
      </w:r>
      <w:r w:rsid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2021р.</w:t>
      </w:r>
    </w:p>
    <w:p w:rsidR="00B277BF" w:rsidRPr="00FF1F6B" w:rsidRDefault="00B277BF" w:rsidP="00B277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148" w:rsidRDefault="00B277BF" w:rsidP="00B277BF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FF1F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кафедрою </w:t>
      </w:r>
      <w:r w:rsidR="008B2148" w:rsidRP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ППУСС </w:t>
      </w:r>
      <w:proofErr w:type="spellStart"/>
      <w:r w:rsidR="008B2148" w:rsidRP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</w:t>
      </w:r>
      <w:proofErr w:type="gramStart"/>
      <w:r w:rsidR="008B2148" w:rsidRP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м.ак</w:t>
      </w:r>
      <w:proofErr w:type="gramEnd"/>
      <w:r w:rsidR="008B2148" w:rsidRPr="008B214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.І.А.Зязюна</w:t>
      </w:r>
      <w:proofErr w:type="spellEnd"/>
    </w:p>
    <w:p w:rsidR="008B2148" w:rsidRPr="008B2148" w:rsidRDefault="008B2148" w:rsidP="00B277BF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              </w:t>
      </w:r>
      <w:r w:rsidRPr="00FF1F6B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FF1F6B">
        <w:rPr>
          <w:rFonts w:ascii="Times New Roman" w:eastAsia="Times New Roman" w:hAnsi="Times New Roman" w:cs="Times New Roman"/>
          <w:sz w:val="20"/>
        </w:rPr>
        <w:t>скорочена</w:t>
      </w:r>
      <w:proofErr w:type="spellEnd"/>
      <w:r w:rsidRPr="00FF1F6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proofErr w:type="spellStart"/>
      <w:r w:rsidRPr="00FF1F6B">
        <w:rPr>
          <w:rFonts w:ascii="Times New Roman" w:eastAsia="Times New Roman" w:hAnsi="Times New Roman" w:cs="Times New Roman"/>
          <w:sz w:val="20"/>
        </w:rPr>
        <w:t>назва</w:t>
      </w:r>
      <w:proofErr w:type="spellEnd"/>
      <w:r w:rsidRPr="00FF1F6B">
        <w:rPr>
          <w:rFonts w:ascii="Times New Roman" w:eastAsia="Times New Roman" w:hAnsi="Times New Roman" w:cs="Times New Roman"/>
          <w:sz w:val="20"/>
        </w:rPr>
        <w:t>)</w:t>
      </w:r>
    </w:p>
    <w:p w:rsidR="00B277BF" w:rsidRPr="00FF1F6B" w:rsidRDefault="008B2148" w:rsidP="008B2148">
      <w:pPr>
        <w:widowControl w:val="0"/>
        <w:tabs>
          <w:tab w:val="left" w:pos="6555"/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Pr="008B2148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</w:t>
      </w:r>
      <w:proofErr w:type="spellEnd"/>
      <w:r w:rsidRPr="008B2148"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F1F6B">
        <w:rPr>
          <w:rFonts w:ascii="Times New Roman" w:eastAsia="Times New Roman" w:hAnsi="Times New Roman" w:cs="Times New Roman"/>
          <w:sz w:val="28"/>
          <w:szCs w:val="28"/>
        </w:rPr>
        <w:t>РОМАНОВСЬКИЙ</w:t>
      </w:r>
    </w:p>
    <w:p w:rsidR="00B277BF" w:rsidRPr="00FF1F6B" w:rsidRDefault="00B277BF" w:rsidP="00B277BF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</w:p>
    <w:p w:rsidR="00B277BF" w:rsidRPr="00FF1F6B" w:rsidRDefault="00B277BF" w:rsidP="00B277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8B2148" w:rsidRDefault="00B277BF" w:rsidP="00B277BF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F1F6B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proofErr w:type="spellEnd"/>
    </w:p>
    <w:p w:rsidR="008B2148" w:rsidRDefault="00B277BF" w:rsidP="00B277BF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F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77BF" w:rsidRPr="008B2148" w:rsidRDefault="008B2148" w:rsidP="00B277BF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______________Тетя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СОЛОДОВНИК</w:t>
      </w: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B277BF" w:rsidRDefault="00B277BF" w:rsidP="007216AA">
      <w:pPr>
        <w:pStyle w:val="20"/>
        <w:shd w:val="clear" w:color="auto" w:fill="auto"/>
        <w:spacing w:line="360" w:lineRule="auto"/>
        <w:ind w:firstLine="142"/>
        <w:rPr>
          <w:rStyle w:val="2"/>
          <w:rFonts w:eastAsia="Calibri"/>
          <w:b/>
          <w:i/>
          <w:color w:val="000000"/>
          <w:lang w:val="uk-UA" w:eastAsia="uk-UA"/>
        </w:rPr>
      </w:pPr>
    </w:p>
    <w:p w:rsidR="007216AA" w:rsidRPr="007216AA" w:rsidRDefault="007216AA" w:rsidP="007216AA">
      <w:pPr>
        <w:pStyle w:val="20"/>
        <w:shd w:val="clear" w:color="auto" w:fill="auto"/>
        <w:spacing w:line="360" w:lineRule="auto"/>
        <w:ind w:firstLine="142"/>
        <w:rPr>
          <w:rFonts w:eastAsia="Calibri"/>
          <w:b/>
          <w:i/>
          <w:lang w:val="uk-UA"/>
        </w:rPr>
      </w:pPr>
      <w:r w:rsidRPr="007216AA">
        <w:rPr>
          <w:rStyle w:val="2"/>
          <w:rFonts w:eastAsia="Calibri"/>
          <w:b/>
          <w:i/>
          <w:color w:val="000000"/>
          <w:lang w:val="uk-UA" w:eastAsia="uk-UA"/>
        </w:rPr>
        <w:lastRenderedPageBreak/>
        <w:t>Кейс підсумк</w:t>
      </w:r>
      <w:bookmarkStart w:id="0" w:name="_GoBack"/>
      <w:bookmarkEnd w:id="0"/>
      <w:r w:rsidRPr="007216AA">
        <w:rPr>
          <w:rStyle w:val="2"/>
          <w:rFonts w:eastAsia="Calibri"/>
          <w:b/>
          <w:i/>
          <w:color w:val="000000"/>
          <w:lang w:val="uk-UA" w:eastAsia="uk-UA"/>
        </w:rPr>
        <w:t>ового контролю знань</w:t>
      </w:r>
    </w:p>
    <w:p w:rsidR="00C77794" w:rsidRPr="007216AA" w:rsidRDefault="00C77794" w:rsidP="007216AA">
      <w:pPr>
        <w:pStyle w:val="20"/>
        <w:shd w:val="clear" w:color="auto" w:fill="auto"/>
        <w:spacing w:line="360" w:lineRule="auto"/>
        <w:ind w:firstLine="0"/>
        <w:rPr>
          <w:rFonts w:eastAsia="Calibri"/>
          <w:b/>
          <w:i/>
          <w:lang w:val="uk-UA"/>
        </w:rPr>
      </w:pPr>
      <w:r w:rsidRPr="007216AA">
        <w:rPr>
          <w:rStyle w:val="2"/>
          <w:rFonts w:eastAsia="Calibri"/>
          <w:b/>
          <w:i/>
          <w:color w:val="000000"/>
          <w:lang w:val="uk-UA" w:eastAsia="uk-UA"/>
        </w:rPr>
        <w:t>«</w:t>
      </w:r>
      <w:r w:rsidR="00E73A8D" w:rsidRPr="007216AA">
        <w:rPr>
          <w:rStyle w:val="2"/>
          <w:b/>
          <w:i/>
          <w:color w:val="000000"/>
          <w:lang w:val="uk-UA" w:eastAsia="uk-UA"/>
        </w:rPr>
        <w:t>Педагогіч</w:t>
      </w:r>
      <w:r w:rsidR="00095694" w:rsidRPr="007216AA">
        <w:rPr>
          <w:rStyle w:val="2"/>
          <w:b/>
          <w:i/>
          <w:color w:val="000000"/>
          <w:lang w:val="uk-UA" w:eastAsia="uk-UA"/>
        </w:rPr>
        <w:t>на психологія</w:t>
      </w:r>
      <w:r w:rsidRPr="007216AA">
        <w:rPr>
          <w:rStyle w:val="2"/>
          <w:rFonts w:eastAsia="Calibri"/>
          <w:b/>
          <w:i/>
          <w:color w:val="000000"/>
          <w:lang w:val="uk-UA" w:eastAsia="uk-UA"/>
        </w:rPr>
        <w:t>».</w:t>
      </w:r>
    </w:p>
    <w:p w:rsidR="00E73A8D" w:rsidRP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теорії </w:t>
      </w:r>
      <w:r w:rsidR="0041615F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ої діяльності: навчання, учіння та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 та його види.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Види учіння та структура учбової діяльності учнів.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</w:t>
      </w:r>
      <w:r w:rsidR="00DA28A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A28A4" w:rsidRPr="00E73A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28A4">
        <w:rPr>
          <w:rFonts w:ascii="Times New Roman" w:hAnsi="Times New Roman" w:cs="Times New Roman"/>
          <w:sz w:val="28"/>
          <w:szCs w:val="28"/>
          <w:lang w:val="uk-UA"/>
        </w:rPr>
        <w:t>чальн</w:t>
      </w:r>
      <w:r w:rsidR="00DA28A4" w:rsidRPr="00E73A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Види учбових мотивів.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Фактори формування позитивної </w:t>
      </w:r>
      <w:r w:rsidR="00F84A7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73A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4A72">
        <w:rPr>
          <w:rFonts w:ascii="Times New Roman" w:hAnsi="Times New Roman" w:cs="Times New Roman"/>
          <w:sz w:val="28"/>
          <w:szCs w:val="28"/>
          <w:lang w:val="uk-UA"/>
        </w:rPr>
        <w:t>чальн</w:t>
      </w: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ої мотивації.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навчання та його психологічні механізми. Психологічні погляди на дидактичні принципи.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Теорії навчання (програмоване,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сугестопедичне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, знаково-контекстне, модульне).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видів навчання.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основи змісту навчання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Моделі навчання.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Основні типи навчання.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Неуспішність, її причини та запобігання.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основи індивідуалізації та диференціації навчання.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виховання: сутність та основні завдання.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механізми виховання: зараження, наслідування,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емпатія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ідентифікація, соціальна пам’ять, соціальне мислення, саморегуляція мотивації.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Самовиховання, його завдання та структура.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та методи самовиховання.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важковиховуваності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 в педагогічній психології.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Причини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важковиховуваності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Акцентуації характеру як причина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важковиховуваності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 роботи з важковиховуваними та </w:t>
      </w:r>
      <w:proofErr w:type="spellStart"/>
      <w:r w:rsidRPr="00E73A8D">
        <w:rPr>
          <w:rFonts w:ascii="Times New Roman" w:hAnsi="Times New Roman" w:cs="Times New Roman"/>
          <w:sz w:val="28"/>
          <w:szCs w:val="28"/>
          <w:lang w:val="uk-UA"/>
        </w:rPr>
        <w:t>девіантами</w:t>
      </w:r>
      <w:proofErr w:type="spellEnd"/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педагогічної діяльності: аналіз основних компонентів.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педагогічні здібності та їх структуру. </w:t>
      </w:r>
    </w:p>
    <w:p w:rsid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 xml:space="preserve">Стилі педагогічної діяльності, їх характеристика. </w:t>
      </w:r>
    </w:p>
    <w:p w:rsidR="007943C6" w:rsidRPr="00E73A8D" w:rsidRDefault="00E73A8D" w:rsidP="007216A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A8D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педагогічного спілкування та його ефективність.</w:t>
      </w:r>
    </w:p>
    <w:sectPr w:rsidR="007943C6" w:rsidRPr="00E73A8D" w:rsidSect="00B277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9EB"/>
    <w:multiLevelType w:val="hybridMultilevel"/>
    <w:tmpl w:val="9F7E50C4"/>
    <w:lvl w:ilvl="0" w:tplc="566CFA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07302"/>
    <w:multiLevelType w:val="hybridMultilevel"/>
    <w:tmpl w:val="E904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794"/>
    <w:rsid w:val="00064442"/>
    <w:rsid w:val="00095694"/>
    <w:rsid w:val="000B29D6"/>
    <w:rsid w:val="003379D7"/>
    <w:rsid w:val="003D0D9E"/>
    <w:rsid w:val="0041615F"/>
    <w:rsid w:val="007216AA"/>
    <w:rsid w:val="007943C6"/>
    <w:rsid w:val="00807E9C"/>
    <w:rsid w:val="008B2148"/>
    <w:rsid w:val="00901AB8"/>
    <w:rsid w:val="009500E0"/>
    <w:rsid w:val="00960FEB"/>
    <w:rsid w:val="00AB3214"/>
    <w:rsid w:val="00B277BF"/>
    <w:rsid w:val="00C77794"/>
    <w:rsid w:val="00CF2E54"/>
    <w:rsid w:val="00DA28A4"/>
    <w:rsid w:val="00E73A8D"/>
    <w:rsid w:val="00F722F9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77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794"/>
    <w:pPr>
      <w:widowControl w:val="0"/>
      <w:shd w:val="clear" w:color="auto" w:fill="FFFFFF"/>
      <w:spacing w:after="0" w:line="485" w:lineRule="exact"/>
      <w:ind w:hanging="52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7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275</cp:lastModifiedBy>
  <cp:revision>7</cp:revision>
  <cp:lastPrinted>2022-02-14T11:43:00Z</cp:lastPrinted>
  <dcterms:created xsi:type="dcterms:W3CDTF">2021-04-16T09:15:00Z</dcterms:created>
  <dcterms:modified xsi:type="dcterms:W3CDTF">2022-02-14T11:43:00Z</dcterms:modified>
</cp:coreProperties>
</file>