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636"/>
        <w:gridCol w:w="14"/>
        <w:gridCol w:w="920"/>
        <w:gridCol w:w="2642"/>
        <w:gridCol w:w="131"/>
        <w:gridCol w:w="1540"/>
        <w:gridCol w:w="3457"/>
      </w:tblGrid>
      <w:tr w:rsidR="004952EA" w:rsidRPr="003A1FB1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3A1FB1" w:rsidRDefault="00D569CB" w:rsidP="00193AB9">
            <w:pPr>
              <w:jc w:val="center"/>
              <w:rPr>
                <w:rFonts w:ascii="Times New Roman" w:eastAsia="Calibri" w:hAnsi="Times New Roman" w:cs="Times New Roman"/>
                <w:i/>
                <w:color w:val="A90001"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color w:val="A90001"/>
                <w:sz w:val="24"/>
                <w:szCs w:val="24"/>
                <w:lang w:val="uk-UA" w:eastAsia="ru-RU"/>
              </w:rPr>
              <w:t>ВСТУП ДО СПЕЦІАЛЬНОСТІ</w:t>
            </w:r>
          </w:p>
          <w:p w:rsidR="004952EA" w:rsidRPr="003A1FB1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3A1FB1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3A1FB1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0A3B23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0A3B23" w:rsidP="004952E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3A1FB1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3A1FB1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0A3B23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0A3B23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Зязюна</w:t>
            </w:r>
            <w:proofErr w:type="spellEnd"/>
          </w:p>
        </w:tc>
      </w:tr>
      <w:tr w:rsidR="004952EA" w:rsidRPr="003A1FB1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3A1FB1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0A3B23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3A1FB1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3A1FB1" w:rsidRDefault="004952EA" w:rsidP="004952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952EA" w:rsidRPr="003A1FB1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3A1FB1" w:rsidRDefault="00905DFD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Гура Тетяна Віталіївна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3A1FB1" w:rsidRDefault="00905DFD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A1FB1">
              <w:rPr>
                <w:rFonts w:ascii="Times New Roman" w:hAnsi="Times New Roman" w:cs="Times New Roman"/>
                <w:i/>
                <w:color w:val="323130"/>
                <w:sz w:val="24"/>
                <w:szCs w:val="24"/>
                <w:shd w:val="clear" w:color="auto" w:fill="FFFFFF"/>
                <w:lang w:val="en-US"/>
              </w:rPr>
              <w:t>tatyana-gura@ukr.net</w:t>
            </w:r>
          </w:p>
        </w:tc>
      </w:tr>
      <w:tr w:rsidR="004952EA" w:rsidRPr="003A1FB1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3A1FB1" w:rsidRDefault="00193AB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2BCC9" wp14:editId="139155F2">
                  <wp:extent cx="1019175" cy="1095375"/>
                  <wp:effectExtent l="19050" t="0" r="9525" b="0"/>
                  <wp:docPr id="5" name="Рисунок 2" descr="D:\обои, фотки для ТВ\Г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бои, фотки для ТВ\ГУ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3A1FB1" w:rsidRDefault="00905DFD" w:rsidP="004952EA">
            <w:pPr>
              <w:spacing w:before="12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uk-UA"/>
              </w:rPr>
              <w:t>Кандидат педагогічних</w:t>
            </w:r>
            <w:r w:rsidR="000A3B23" w:rsidRPr="003A1FB1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uk-UA"/>
              </w:rPr>
              <w:t xml:space="preserve">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="000A3B23" w:rsidRPr="003A1FB1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uk-UA"/>
              </w:rPr>
              <w:t>Зязюна</w:t>
            </w:r>
            <w:proofErr w:type="spellEnd"/>
            <w:r w:rsidR="000A3B23" w:rsidRPr="003A1FB1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uk-UA"/>
              </w:rPr>
              <w:t xml:space="preserve"> НТУ «ХПІ».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Досвід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роботи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– 2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7 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рок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Автор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понад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1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5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наукових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навчально-методичних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праць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</w:t>
            </w:r>
            <w:proofErr w:type="gram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ідний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лектор з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дисциплін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 «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Вступ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спеціальності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»,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Психологія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лідерства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бізнесі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», «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Психологія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бізнесу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та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підприємництва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  <w:r w:rsidRPr="003A1F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, «Загальна психологія», «</w:t>
            </w:r>
            <w:r w:rsidRPr="003A1FB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lang w:val="uk-UA"/>
              </w:rPr>
              <w:t>Педагогічна майстерність науково-педагогічних працівників вищої школи»</w:t>
            </w:r>
            <w:r w:rsidR="00D221C1" w:rsidRPr="003A1FB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lang w:val="uk-UA"/>
              </w:rPr>
              <w:t>, «Психологія лідерства»</w:t>
            </w:r>
          </w:p>
        </w:tc>
      </w:tr>
      <w:tr w:rsidR="004952EA" w:rsidRPr="003A1FB1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3A1FB1" w:rsidRDefault="004952EA" w:rsidP="004952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Загальна інформація про курс</w:t>
            </w:r>
          </w:p>
        </w:tc>
      </w:tr>
      <w:tr w:rsidR="004952EA" w:rsidRPr="00A94B61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86257F" w:rsidRPr="003A1FB1" w:rsidRDefault="00D221C1" w:rsidP="008625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Дисципліна «</w:t>
            </w:r>
            <w:r w:rsidR="00803730"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Вступ до спеціальності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 спрямована на вивчення</w:t>
            </w:r>
            <w:r w:rsidR="00623F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основних положень щодо навчання студентів в технічному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університеті. </w:t>
            </w:r>
            <w:r w:rsidR="00623F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туденти будуть ознайомлені з історією університету,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музеєм історії закладу, 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структурними підрозділами університету,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дирекцією, кафедрою,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організацією роботи в 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бібліотеці, також вони мають можливість 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пізнати свої права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обов’язки. </w:t>
            </w:r>
            <w:r w:rsidR="008625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Під час вивчення 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дисципліни студенти вив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чають основні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вимог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 професії майбутнього психолога, нормативних  основ  та </w:t>
            </w:r>
            <w:r w:rsidR="00FE20A7"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особливостей роботи практичного 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психолога, </w:t>
            </w:r>
            <w:r w:rsidR="00FE20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етичними основами діяльності майбутнього психолога</w:t>
            </w:r>
            <w:r w:rsidR="00A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галузями психології та напрямками практичної психології.</w:t>
            </w:r>
          </w:p>
          <w:p w:rsidR="004952EA" w:rsidRPr="003A1FB1" w:rsidRDefault="004952EA" w:rsidP="00D449D8">
            <w:pPr>
              <w:spacing w:before="120" w:after="12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952EA" w:rsidRPr="003A1FB1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803730" w:rsidRPr="003A1FB1" w:rsidRDefault="00803730" w:rsidP="008037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Мета викладання навчальної дисципліни «Вступ до спеціальності» полягає у наданні студентам систематизованих знань із теоретичних засад щодо навчання в технічному університеті та основ психології як галузі знань.</w:t>
            </w:r>
          </w:p>
          <w:p w:rsidR="00D87476" w:rsidRPr="003A1FB1" w:rsidRDefault="00D87476" w:rsidP="00D87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ru-RU"/>
              </w:rPr>
            </w:pPr>
          </w:p>
          <w:p w:rsidR="004952EA" w:rsidRPr="003A1FB1" w:rsidRDefault="004952EA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952EA" w:rsidRPr="003A1FB1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3A1FB1" w:rsidRDefault="000A3B23" w:rsidP="000E68D5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Лекції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D87476"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семінарські </w:t>
            </w:r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заняття</w:t>
            </w:r>
            <w:proofErr w:type="gram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амостійна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робота. </w:t>
            </w:r>
            <w:proofErr w:type="spellStart"/>
            <w:proofErr w:type="gram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ідсумковий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контроль –</w:t>
            </w:r>
            <w:r w:rsidR="000E68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4952EA" w:rsidRPr="003A1FB1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3A1FB1" w:rsidRDefault="004952EA" w:rsidP="004952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3A1FB1" w:rsidRDefault="00D87476" w:rsidP="004952EA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1FB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803730" w:rsidRPr="003A1FB1" w:rsidRDefault="004952EA" w:rsidP="000E68D5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br w:type="page"/>
      </w:r>
      <w:r w:rsidR="00803730" w:rsidRPr="003A1FB1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lastRenderedPageBreak/>
        <w:t>Результати навчання: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8"/>
        <w:gridCol w:w="8382"/>
      </w:tblGrid>
      <w:tr w:rsidR="00803730" w:rsidRPr="003A1FB1" w:rsidTr="00803730">
        <w:trPr>
          <w:trHeight w:val="4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03730" w:rsidRPr="003A1FB1" w:rsidRDefault="00803730" w:rsidP="00CD3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03730" w:rsidRPr="003A1FB1" w:rsidRDefault="00803730" w:rsidP="00CD3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РНз</w:t>
            </w:r>
            <w:proofErr w:type="spellEnd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-5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03730" w:rsidRPr="003A1FB1" w:rsidRDefault="00803730" w:rsidP="00CD3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 </w:t>
            </w:r>
            <w:proofErr w:type="spell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предметну</w:t>
            </w:r>
            <w:proofErr w:type="spellEnd"/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>галузь</w:t>
            </w:r>
            <w:proofErr w:type="spellEnd"/>
          </w:p>
          <w:p w:rsidR="00803730" w:rsidRPr="003A1FB1" w:rsidRDefault="00803730" w:rsidP="00CD34D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03730" w:rsidRPr="003A1FB1" w:rsidTr="00803730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3730" w:rsidRPr="003A1FB1" w:rsidRDefault="00803730" w:rsidP="00CD3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РНс</w:t>
            </w:r>
            <w:proofErr w:type="spellEnd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-3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03730" w:rsidRPr="003A1FB1" w:rsidRDefault="00803730" w:rsidP="00CD34D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Робити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висновки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психологічних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витоків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наслідків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особистість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психічних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процесів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стані</w:t>
            </w:r>
            <w:proofErr w:type="gram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якостей</w:t>
            </w:r>
            <w:proofErr w:type="spellEnd"/>
            <w:r w:rsidRPr="003A1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03730" w:rsidRPr="003A1FB1" w:rsidRDefault="00803730" w:rsidP="00CD3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3615" w:rsidRPr="003A1FB1" w:rsidRDefault="00383615" w:rsidP="00383615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i/>
          <w:sz w:val="24"/>
          <w:szCs w:val="24"/>
        </w:rPr>
      </w:pPr>
    </w:p>
    <w:p w:rsidR="00A9620B" w:rsidRPr="003A1FB1" w:rsidRDefault="00A9620B" w:rsidP="00B040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36B6D" w:rsidRPr="003A1FB1" w:rsidRDefault="00636B6D" w:rsidP="00B04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sz w:val="24"/>
          <w:szCs w:val="24"/>
          <w:lang w:val="uk-UA"/>
        </w:rPr>
        <w:t>Теми що р</w:t>
      </w:r>
      <w:r w:rsidR="00204D1E" w:rsidRPr="003A1FB1">
        <w:rPr>
          <w:rFonts w:ascii="Times New Roman" w:hAnsi="Times New Roman" w:cs="Times New Roman"/>
          <w:sz w:val="24"/>
          <w:szCs w:val="24"/>
          <w:lang w:val="uk-UA"/>
        </w:rPr>
        <w:t>озгляда</w:t>
      </w:r>
      <w:r w:rsidRPr="003A1FB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204D1E" w:rsidRPr="003A1FB1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D87476" w:rsidRPr="003A1FB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03730" w:rsidRPr="003A1FB1" w:rsidRDefault="000E68D5" w:rsidP="0080373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-105.35pt,-165.35pt" to="-105.35pt,303.6pt" o:allowincell="f" strokeweight=".5pt">
            <w10:wrap anchorx="margin"/>
          </v:line>
        </w:pict>
      </w:r>
      <w:r w:rsidR="00D87476" w:rsidRPr="003A1FB1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</w:t>
      </w:r>
      <w:r w:rsidR="00D87476" w:rsidRPr="003A1FB1">
        <w:rPr>
          <w:rFonts w:ascii="Times New Roman" w:hAnsi="Times New Roman" w:cs="Times New Roman"/>
          <w:iCs/>
          <w:spacing w:val="1"/>
          <w:sz w:val="24"/>
          <w:szCs w:val="24"/>
          <w:u w:val="single"/>
          <w:lang w:val="uk-UA"/>
        </w:rPr>
        <w:t>.</w:t>
      </w:r>
      <w:r w:rsidR="00D87476" w:rsidRPr="003A1FB1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 xml:space="preserve"> </w:t>
      </w:r>
      <w:r w:rsidR="00803730" w:rsidRPr="003A1FB1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 xml:space="preserve"> Вища професійна освіта в Україні і за кордоном. </w:t>
      </w:r>
      <w:r w:rsidR="00803730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Професійне становлення здобувача вищої освіти. </w:t>
      </w:r>
      <w:r w:rsidR="00803730" w:rsidRPr="003A1FB1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>НТУ «ХПІ»</w:t>
      </w:r>
    </w:p>
    <w:p w:rsidR="00803730" w:rsidRPr="003A1FB1" w:rsidRDefault="000E68D5" w:rsidP="0080373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7" style="position:absolute;left:0;text-align:left;z-index:251662336;mso-position-horizontal-relative:margin" from="-105.35pt,-165.35pt" to="-105.35pt,303.6pt" o:allowincell="f" strokeweight=".5pt">
            <w10:wrap anchorx="margin"/>
          </v:line>
        </w:pict>
      </w:r>
      <w:r w:rsidR="00D87476" w:rsidRPr="003A1FB1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№2.</w:t>
      </w:r>
      <w:r w:rsidR="00D87476" w:rsidRPr="003A1FB1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 xml:space="preserve"> </w:t>
      </w:r>
      <w:r w:rsidR="00803730" w:rsidRPr="003A1FB1">
        <w:rPr>
          <w:rFonts w:ascii="Times New Roman" w:hAnsi="Times New Roman" w:cs="Times New Roman"/>
          <w:sz w:val="24"/>
          <w:szCs w:val="24"/>
          <w:lang w:val="uk-UA"/>
        </w:rPr>
        <w:t>Організація освітнього процесу в НТУ «ХПІ»</w:t>
      </w:r>
    </w:p>
    <w:p w:rsidR="00803730" w:rsidRPr="003A1FB1" w:rsidRDefault="00803730" w:rsidP="0080373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Нормативна база навчального процесу НТУ «ХПІ».</w:t>
      </w:r>
      <w:r w:rsidRPr="003A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476" w:rsidRPr="003A1FB1" w:rsidRDefault="00D87476" w:rsidP="00803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3730" w:rsidRPr="003A1FB1" w:rsidRDefault="00D87476" w:rsidP="0080373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Тема № 3</w:t>
      </w:r>
      <w:r w:rsidR="005235CF" w:rsidRPr="003A1FB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  <w:r w:rsidR="005235CF" w:rsidRPr="003A1F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3730" w:rsidRPr="003A1FB1">
        <w:rPr>
          <w:rFonts w:ascii="Times New Roman" w:hAnsi="Times New Roman" w:cs="Times New Roman"/>
          <w:iCs/>
          <w:sz w:val="24"/>
          <w:szCs w:val="24"/>
          <w:lang w:val="uk-UA"/>
        </w:rPr>
        <w:t>Науково-технічна бібліотека в освітньому  процесі</w:t>
      </w:r>
      <w:r w:rsidR="00803730" w:rsidRPr="003A1F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3730" w:rsidRPr="003A1F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НТУ «ХПІ»  </w:t>
      </w:r>
    </w:p>
    <w:p w:rsidR="00FE1F66" w:rsidRPr="003A1FB1" w:rsidRDefault="00D87476" w:rsidP="00FE1F6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4</w:t>
      </w:r>
      <w:r w:rsidR="00B37B88"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.</w:t>
      </w:r>
      <w:r w:rsidR="00656308" w:rsidRPr="003A1F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E1F66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 щодо роботи </w:t>
      </w:r>
    </w:p>
    <w:p w:rsidR="00D87476" w:rsidRPr="003A1FB1" w:rsidRDefault="00FE1F66" w:rsidP="003A1FB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sz w:val="24"/>
          <w:szCs w:val="24"/>
          <w:lang w:val="uk-UA"/>
        </w:rPr>
        <w:t>студентів під час навчання. Контрольні заходи.  Організація та проведення звітностей  в НТУ «ХПІ.</w:t>
      </w:r>
    </w:p>
    <w:p w:rsidR="008B6D6F" w:rsidRPr="003A1FB1" w:rsidRDefault="00D87476" w:rsidP="008B6D6F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№5.</w:t>
      </w:r>
      <w:r w:rsidR="008B6D6F" w:rsidRPr="003A1FB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   Соціально–правовий захист студента</w:t>
      </w:r>
    </w:p>
    <w:p w:rsidR="00D87476" w:rsidRPr="003A1FB1" w:rsidRDefault="00D87476" w:rsidP="003A1FB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</w:t>
      </w:r>
      <w:r w:rsidR="00B37B88"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№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6</w:t>
      </w:r>
      <w:r w:rsidR="008B6D6F"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8B6D6F" w:rsidRPr="003A1F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Загальне уявлення про психологію як науку.</w:t>
      </w:r>
    </w:p>
    <w:p w:rsidR="008872FD" w:rsidRPr="003A1FB1" w:rsidRDefault="00D87476" w:rsidP="003A1FB1">
      <w:pPr>
        <w:ind w:right="-7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</w:t>
      </w:r>
      <w:r w:rsidR="00B37B88"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№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7.</w:t>
      </w:r>
      <w:r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1F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Психологія як професія. </w:t>
      </w:r>
    </w:p>
    <w:p w:rsidR="008B6D6F" w:rsidRPr="003A1FB1" w:rsidRDefault="00656308" w:rsidP="003A1FB1">
      <w:pPr>
        <w:ind w:right="-7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 </w:t>
      </w:r>
      <w:r w:rsidR="00D87476"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="00D87476" w:rsidRPr="003A1FB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8.</w:t>
      </w:r>
      <w:r w:rsidR="008B6D6F" w:rsidRPr="003A1F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Етичний кодекс психолога.</w:t>
      </w:r>
    </w:p>
    <w:p w:rsidR="008B6D6F" w:rsidRPr="003A1FB1" w:rsidRDefault="008B6D6F" w:rsidP="008B6D6F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  <w:r w:rsidR="008872FD" w:rsidRPr="003A1FB1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№9.</w:t>
      </w:r>
      <w:r w:rsidR="008872FD" w:rsidRPr="003A1FB1">
        <w:rPr>
          <w:rFonts w:ascii="Times New Roman" w:hAnsi="Times New Roman" w:cs="Times New Roman"/>
          <w:iCs/>
          <w:sz w:val="24"/>
          <w:szCs w:val="24"/>
          <w:lang w:val="uk-UA"/>
        </w:rPr>
        <w:t> </w:t>
      </w:r>
      <w:r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Загальні уявлення про особливості індивіду: темперамент, характер</w:t>
      </w:r>
    </w:p>
    <w:p w:rsidR="008B6D6F" w:rsidRPr="003A1FB1" w:rsidRDefault="008872FD" w:rsidP="008B6D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№10</w:t>
      </w:r>
      <w:r w:rsidRPr="003A1FB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.</w:t>
      </w:r>
      <w:r w:rsidRPr="003A1F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Практична психологія як прикладна наука. Психодіагностика.</w:t>
      </w:r>
    </w:p>
    <w:p w:rsidR="008872FD" w:rsidRPr="003A1FB1" w:rsidRDefault="008872FD" w:rsidP="003A1FB1">
      <w:pPr>
        <w:jc w:val="both"/>
        <w:rPr>
          <w:rStyle w:val="shorttext"/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№11</w:t>
      </w:r>
      <w:r w:rsidRPr="003A1FB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.</w:t>
      </w:r>
      <w:r w:rsidRPr="003A1F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Психологічне консультування як метод практичної психології.</w:t>
      </w:r>
    </w:p>
    <w:p w:rsidR="008B6D6F" w:rsidRPr="003A1FB1" w:rsidRDefault="008872FD" w:rsidP="008B6D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12</w:t>
      </w:r>
      <w:r w:rsidRPr="003A1FB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uk-UA" w:bidi="ar-YE"/>
        </w:rPr>
        <w:t>.</w:t>
      </w:r>
      <w:r w:rsidRPr="003A1FB1">
        <w:rPr>
          <w:rFonts w:ascii="Times New Roman" w:hAnsi="Times New Roman" w:cs="Times New Roman"/>
          <w:bCs/>
          <w:color w:val="000000"/>
          <w:sz w:val="24"/>
          <w:szCs w:val="24"/>
          <w:lang w:val="uk-UA" w:bidi="ar-YE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Загальне уявлення про психологічну корекцію як метод практичної психології.</w:t>
      </w:r>
    </w:p>
    <w:p w:rsidR="008B6D6F" w:rsidRPr="003A1FB1" w:rsidRDefault="008872FD" w:rsidP="008B6D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13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Загальне уявлення про психологічний тренінг як метод практичної психології.</w:t>
      </w:r>
    </w:p>
    <w:p w:rsidR="008872FD" w:rsidRPr="003A1FB1" w:rsidRDefault="008872FD" w:rsidP="008B6D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Тема 14.</w:t>
      </w:r>
      <w:r w:rsidRPr="003A1FB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Психотерапія як метод практичної психології. </w:t>
      </w:r>
    </w:p>
    <w:p w:rsidR="008B6D6F" w:rsidRPr="003A1FB1" w:rsidRDefault="008872FD" w:rsidP="008B6D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№15.</w:t>
      </w:r>
      <w:r w:rsidRPr="003A1FB1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> </w:t>
      </w:r>
      <w:proofErr w:type="spellStart"/>
      <w:proofErr w:type="gramStart"/>
      <w:r w:rsidR="008B6D6F" w:rsidRPr="003A1F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8B6D6F" w:rsidRPr="003A1FB1">
        <w:rPr>
          <w:rFonts w:ascii="Times New Roman" w:hAnsi="Times New Roman" w:cs="Times New Roman"/>
          <w:sz w:val="24"/>
          <w:szCs w:val="24"/>
        </w:rPr>
        <w:t>іально-психологічна</w:t>
      </w:r>
      <w:proofErr w:type="spellEnd"/>
      <w:r w:rsidR="008B6D6F" w:rsidRPr="003A1FB1">
        <w:rPr>
          <w:rFonts w:ascii="Times New Roman" w:hAnsi="Times New Roman" w:cs="Times New Roman"/>
          <w:sz w:val="24"/>
          <w:szCs w:val="24"/>
        </w:rPr>
        <w:t xml:space="preserve"> служба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72FD" w:rsidRPr="003A1FB1" w:rsidRDefault="008872FD" w:rsidP="003A1F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16.</w:t>
      </w:r>
      <w:r w:rsidRPr="003A1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D6F" w:rsidRPr="003A1FB1">
        <w:rPr>
          <w:rFonts w:ascii="Times New Roman" w:hAnsi="Times New Roman" w:cs="Times New Roman"/>
          <w:sz w:val="24"/>
          <w:szCs w:val="24"/>
          <w:lang w:val="uk-UA"/>
        </w:rPr>
        <w:t>Просвітницько-пропагандистська і профілактична робота психолога.</w:t>
      </w:r>
    </w:p>
    <w:p w:rsidR="008872FD" w:rsidRPr="003A1FB1" w:rsidRDefault="008872FD" w:rsidP="003A1FB1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МЕТОДИ НАВЧАННЯ</w:t>
      </w:r>
    </w:p>
    <w:p w:rsidR="00106BDC" w:rsidRPr="003A1FB1" w:rsidRDefault="00106BDC" w:rsidP="00106BD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Методами навчання у викладанні навчальної дисципліни «Вступ до спеціальності» є:</w:t>
      </w:r>
    </w:p>
    <w:p w:rsidR="00106BDC" w:rsidRPr="003A1FB1" w:rsidRDefault="00106BDC" w:rsidP="00106BD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- словесні (бесіда, дискусія, лекція, робота з книгою)</w:t>
      </w:r>
    </w:p>
    <w:p w:rsidR="00106BDC" w:rsidRPr="003A1FB1" w:rsidRDefault="00106BDC" w:rsidP="00106BD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- наочні (ілюстрація практичними прикладами)</w:t>
      </w:r>
    </w:p>
    <w:p w:rsidR="00106BDC" w:rsidRPr="003A1FB1" w:rsidRDefault="00106BDC" w:rsidP="00106BD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- практичні (практичні вправи).</w:t>
      </w:r>
    </w:p>
    <w:p w:rsidR="00430184" w:rsidRPr="003A1FB1" w:rsidRDefault="00106BDC" w:rsidP="003A1FB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hAnsi="Times New Roman" w:cs="Times New Roman"/>
          <w:i/>
          <w:sz w:val="28"/>
          <w:szCs w:val="28"/>
          <w:lang w:val="uk-UA"/>
        </w:rPr>
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ігри.</w:t>
      </w:r>
    </w:p>
    <w:p w:rsidR="00106BDC" w:rsidRPr="003A1FB1" w:rsidRDefault="00106BDC" w:rsidP="00106BDC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МЕТОДИ КОНТРОЛЮ</w:t>
      </w:r>
    </w:p>
    <w:p w:rsidR="00106BDC" w:rsidRPr="003A1FB1" w:rsidRDefault="00106BDC" w:rsidP="00106BD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Методами контролю у викладанні навчальної дисципліни  «Вступ до спеціальності» є усний та письмовий контроль під час проведення поточного та семестрового контролю.</w:t>
      </w:r>
    </w:p>
    <w:p w:rsidR="00106BDC" w:rsidRPr="003A1FB1" w:rsidRDefault="00106BDC" w:rsidP="00106BD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Поточний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реалізується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формі опитування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виступів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на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практичних заняттях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тестів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виконання індивідуальних завдань, проведення 2 контрольних робіт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106BDC" w:rsidRPr="003A1FB1" w:rsidRDefault="00106BDC" w:rsidP="00106BDC">
      <w:pPr>
        <w:tabs>
          <w:tab w:val="left" w:pos="993"/>
        </w:tabs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складової робочої програми, яка освоюється </w:t>
      </w:r>
      <w:proofErr w:type="gramStart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ід час самостійної роботи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студента,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проводиться:</w:t>
      </w:r>
    </w:p>
    <w:p w:rsidR="00106BDC" w:rsidRPr="003A1FB1" w:rsidRDefault="00106BDC" w:rsidP="00106BDC">
      <w:pPr>
        <w:widowControl w:val="0"/>
        <w:numPr>
          <w:ilvl w:val="0"/>
          <w:numId w:val="11"/>
        </w:numPr>
        <w:tabs>
          <w:tab w:val="left" w:pos="709"/>
        </w:tabs>
        <w:suppressAutoHyphens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лекційного матеріалу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– шляхом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перевірки конспекті</w:t>
      </w:r>
      <w:proofErr w:type="gramStart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</w:t>
      </w:r>
      <w:proofErr w:type="gramEnd"/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106BDC" w:rsidRPr="003A1FB1" w:rsidRDefault="00106BDC" w:rsidP="00106BDC">
      <w:pPr>
        <w:widowControl w:val="0"/>
        <w:numPr>
          <w:ilvl w:val="0"/>
          <w:numId w:val="11"/>
        </w:numPr>
        <w:tabs>
          <w:tab w:val="left" w:pos="709"/>
        </w:tabs>
        <w:suppressAutoHyphens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практичних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занять – за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допомогою </w:t>
      </w:r>
      <w:proofErr w:type="gramStart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перев</w:t>
      </w:r>
      <w:proofErr w:type="gramEnd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ірки виконаних завдань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інформаційних повідомлень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за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обраною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темою.</w:t>
      </w:r>
    </w:p>
    <w:p w:rsidR="00106BDC" w:rsidRPr="003A1FB1" w:rsidRDefault="00106BDC" w:rsidP="00106BDC">
      <w:pPr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Семестровий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контроль проводиться 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формі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диференційного заліку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відповідно до навчального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план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обсязі навчального матеріалу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визначеного навчальною програмою та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терміни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встановлені навчальним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планом.</w:t>
      </w:r>
    </w:p>
    <w:p w:rsidR="00106BDC" w:rsidRPr="003A1FB1" w:rsidRDefault="00106BDC" w:rsidP="00106BDC">
      <w:pPr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Результати поточного контролю враховуються як рейтингова оцінка для виставлення оцінки з даної дисципліни.</w:t>
      </w:r>
    </w:p>
    <w:p w:rsidR="00106BDC" w:rsidRPr="003A1FB1" w:rsidRDefault="00106BDC" w:rsidP="00106BD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Студент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вважається допущеним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до </w:t>
      </w:r>
      <w:proofErr w:type="gramStart"/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семестрового</w:t>
      </w:r>
      <w:proofErr w:type="gramEnd"/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диференційного заліку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з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навчальної дисципліни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за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умови повного відпрацювання усіх практичних 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>занять,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передбачених навчальною програмою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</w:rPr>
        <w:t xml:space="preserve"> з</w:t>
      </w:r>
      <w:r w:rsidRPr="003A1F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дисципліни.</w:t>
      </w:r>
    </w:p>
    <w:p w:rsidR="00106BDC" w:rsidRPr="003A1FB1" w:rsidRDefault="00106BDC" w:rsidP="00106BDC">
      <w:pPr>
        <w:ind w:left="142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6BDC" w:rsidRPr="000E68D5" w:rsidRDefault="00106BDC" w:rsidP="00106BDC">
      <w:pPr>
        <w:ind w:left="142" w:firstLine="425"/>
        <w:jc w:val="center"/>
        <w:rPr>
          <w:b/>
          <w:i/>
          <w:szCs w:val="28"/>
          <w:lang w:val="uk-UA"/>
        </w:rPr>
      </w:pPr>
      <w:r w:rsidRPr="000E68D5">
        <w:rPr>
          <w:b/>
          <w:i/>
          <w:szCs w:val="28"/>
          <w:lang w:val="uk-UA"/>
        </w:rPr>
        <w:t>Розподіл балів, які отримують студенти</w:t>
      </w:r>
    </w:p>
    <w:p w:rsidR="00106BDC" w:rsidRPr="000E68D5" w:rsidRDefault="00106BDC" w:rsidP="00106BDC">
      <w:pPr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992"/>
        <w:gridCol w:w="2077"/>
        <w:gridCol w:w="834"/>
        <w:gridCol w:w="1023"/>
      </w:tblGrid>
      <w:tr w:rsidR="00106BDC" w:rsidRPr="003A1FB1" w:rsidTr="00CD34D5">
        <w:tc>
          <w:tcPr>
            <w:tcW w:w="2802" w:type="dxa"/>
            <w:vMerge w:val="restart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Назва теми</w:t>
            </w:r>
          </w:p>
        </w:tc>
        <w:tc>
          <w:tcPr>
            <w:tcW w:w="6596" w:type="dxa"/>
            <w:gridSpan w:val="5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  <w:r w:rsidRPr="003A1FB1">
              <w:rPr>
                <w:i/>
                <w:lang w:val="uk-UA"/>
              </w:rPr>
              <w:t>Разом за темою</w:t>
            </w:r>
          </w:p>
        </w:tc>
      </w:tr>
      <w:tr w:rsidR="00106BDC" w:rsidRPr="003A1FB1" w:rsidTr="00CD34D5">
        <w:trPr>
          <w:trHeight w:val="2089"/>
        </w:trPr>
        <w:tc>
          <w:tcPr>
            <w:tcW w:w="2802" w:type="dxa"/>
            <w:vMerge/>
            <w:shd w:val="clear" w:color="auto" w:fill="auto"/>
          </w:tcPr>
          <w:p w:rsidR="00106BDC" w:rsidRPr="003A1FB1" w:rsidRDefault="00106BDC" w:rsidP="00CD34D5">
            <w:pPr>
              <w:rPr>
                <w:i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Активна робота на занятті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proofErr w:type="spellStart"/>
            <w:r w:rsidRPr="003A1FB1">
              <w:rPr>
                <w:i/>
                <w:lang w:val="uk-UA"/>
              </w:rPr>
              <w:t>Індиві-дуальне</w:t>
            </w:r>
            <w:proofErr w:type="spellEnd"/>
            <w:r w:rsidRPr="003A1FB1">
              <w:rPr>
                <w:i/>
                <w:lang w:val="uk-UA"/>
              </w:rPr>
              <w:t xml:space="preserve"> завдання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Доповідь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 xml:space="preserve">Інше (есе, </w:t>
            </w:r>
            <w:proofErr w:type="spellStart"/>
            <w:r w:rsidRPr="003A1FB1">
              <w:rPr>
                <w:i/>
                <w:lang w:val="uk-UA"/>
              </w:rPr>
              <w:t>самост.опрацюв</w:t>
            </w:r>
            <w:proofErr w:type="spellEnd"/>
            <w:r w:rsidRPr="003A1FB1">
              <w:rPr>
                <w:i/>
                <w:lang w:val="uk-UA"/>
              </w:rPr>
              <w:t xml:space="preserve">. </w:t>
            </w:r>
            <w:proofErr w:type="spellStart"/>
            <w:r w:rsidRPr="003A1FB1">
              <w:rPr>
                <w:i/>
                <w:lang w:val="uk-UA"/>
              </w:rPr>
              <w:t>матер</w:t>
            </w:r>
            <w:proofErr w:type="spellEnd"/>
            <w:r w:rsidRPr="003A1FB1">
              <w:rPr>
                <w:i/>
                <w:lang w:val="uk-UA"/>
              </w:rPr>
              <w:t>.)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МКР</w:t>
            </w:r>
          </w:p>
        </w:tc>
        <w:tc>
          <w:tcPr>
            <w:tcW w:w="1023" w:type="dxa"/>
            <w:vMerge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iCs/>
                <w:spacing w:val="1"/>
                <w:u w:val="single"/>
                <w:lang w:val="uk-UA"/>
              </w:rPr>
              <w:t>Тема1.</w:t>
            </w:r>
            <w:r w:rsidRPr="003A1FB1">
              <w:rPr>
                <w:rFonts w:ascii="Times New Roman" w:hAnsi="Times New Roman" w:cs="Times New Roman"/>
                <w:i/>
                <w:iCs/>
                <w:spacing w:val="1"/>
                <w:lang w:val="uk-UA"/>
              </w:rPr>
              <w:t xml:space="preserve"> Вища професійна освіта в Україні і за кордоном. 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Професійне становлення здобувача вищої освіти. </w:t>
            </w:r>
            <w:r w:rsidRPr="003A1FB1">
              <w:rPr>
                <w:rFonts w:ascii="Times New Roman" w:hAnsi="Times New Roman" w:cs="Times New Roman"/>
                <w:i/>
                <w:iCs/>
                <w:spacing w:val="1"/>
                <w:lang w:val="uk-UA"/>
              </w:rPr>
              <w:t>НТУ «ХПІ»</w:t>
            </w:r>
          </w:p>
          <w:p w:rsidR="00106BDC" w:rsidRPr="003A1FB1" w:rsidRDefault="00106BDC" w:rsidP="00CD34D5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2.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Організація освітнього процесу в НТУ «ХПІ»</w:t>
            </w:r>
          </w:p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Нормативна база навчального процесу НТУ «ХПІ».</w:t>
            </w:r>
            <w:r w:rsidRPr="003A1FB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06BDC" w:rsidRPr="003A1FB1" w:rsidRDefault="00106BDC" w:rsidP="00CD3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lang w:val="uk-UA" w:eastAsia="ru-RU"/>
              </w:rPr>
            </w:pPr>
            <w:r w:rsidRPr="003A1FB1">
              <w:rPr>
                <w:rFonts w:ascii="Times New Roman" w:hAnsi="Times New Roman" w:cs="Times New Roman"/>
                <w:bCs/>
                <w:i/>
                <w:lang w:val="uk-UA" w:eastAsia="ru-RU"/>
              </w:rPr>
              <w:t>.</w:t>
            </w:r>
          </w:p>
          <w:p w:rsidR="00106BDC" w:rsidRPr="003A1FB1" w:rsidRDefault="00106BDC" w:rsidP="00CD34D5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A1FB1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3</w:t>
            </w:r>
            <w:r w:rsidRPr="003A1FB1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  <w:r w:rsidRPr="003A1F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1FB1">
              <w:rPr>
                <w:rFonts w:ascii="Times New Roman" w:hAnsi="Times New Roman" w:cs="Times New Roman"/>
                <w:i/>
                <w:iCs/>
                <w:lang w:val="uk-UA"/>
              </w:rPr>
              <w:t>Науково-технічна бібліотека в освітньому  процесі</w:t>
            </w:r>
            <w:r w:rsidRPr="003A1F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1FB1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НТУ «ХПІ»  </w:t>
            </w:r>
          </w:p>
          <w:p w:rsidR="00106BDC" w:rsidRPr="003A1FB1" w:rsidRDefault="00106BDC" w:rsidP="00CD34D5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8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4.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 Методичні рекомендації щодо роботи </w:t>
            </w:r>
          </w:p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lang w:val="uk-UA"/>
              </w:rPr>
              <w:t>студентів під час навчання. Контрольні заходи.  Організація та проведення звітностей  в НТУ «ХПІ.</w:t>
            </w:r>
          </w:p>
          <w:p w:rsidR="00106BDC" w:rsidRPr="003A1FB1" w:rsidRDefault="00106BDC" w:rsidP="00CD34D5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6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lang w:val="uk-UA"/>
              </w:rPr>
              <w:t>Тема 5.    Соціально–правовий захист студента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6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6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>.Загальне уявлення про психологію як науку.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7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ind w:right="-766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7.</w:t>
            </w:r>
            <w:r w:rsidRPr="003A1FB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</w:p>
          <w:p w:rsidR="00106BDC" w:rsidRPr="003A1FB1" w:rsidRDefault="00106BDC" w:rsidP="00CD34D5">
            <w:pPr>
              <w:ind w:right="-766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Психологія як професія. 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8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ind w:right="-766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8.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Етичний кодекс психолога.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6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9.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Загальні уявлення 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lastRenderedPageBreak/>
              <w:t>про особливості індивіду: темперамент, характер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8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lastRenderedPageBreak/>
              <w:t>Тема 10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Практична психологія як прикладна наука. Психодіагностика.</w:t>
            </w:r>
          </w:p>
          <w:p w:rsidR="00106BDC" w:rsidRPr="003A1FB1" w:rsidRDefault="00106BDC" w:rsidP="00CD34D5">
            <w:pPr>
              <w:jc w:val="both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11.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Психологічне консультування як метод практичної психології.</w:t>
            </w:r>
          </w:p>
          <w:p w:rsidR="00106BDC" w:rsidRPr="003A1FB1" w:rsidRDefault="00106BDC" w:rsidP="00CD34D5">
            <w:pPr>
              <w:jc w:val="center"/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6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12.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>Загальне уявлення про психологічну корекцію як метод практичної психології.</w:t>
            </w:r>
          </w:p>
          <w:p w:rsidR="00106BDC" w:rsidRPr="003A1FB1" w:rsidRDefault="00106BDC" w:rsidP="00CD34D5">
            <w:pPr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13</w:t>
            </w:r>
            <w:r w:rsidRPr="003A1FB1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>Загальне уявлення про психологічний тренінг як метод практичної психології.</w:t>
            </w:r>
          </w:p>
          <w:p w:rsidR="00106BDC" w:rsidRPr="003A1FB1" w:rsidRDefault="00106BDC" w:rsidP="00CD34D5">
            <w:pPr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8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14</w:t>
            </w:r>
            <w:r w:rsidRPr="003A1FB1">
              <w:rPr>
                <w:rFonts w:ascii="Times New Roman" w:hAnsi="Times New Roman" w:cs="Times New Roman"/>
                <w:i/>
                <w:u w:val="single"/>
                <w:lang w:val="uk-UA"/>
              </w:rPr>
              <w:t>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Психотерапія як метод практичної психології. </w:t>
            </w:r>
          </w:p>
          <w:p w:rsidR="00106BDC" w:rsidRPr="003A1FB1" w:rsidRDefault="00106BDC" w:rsidP="00CD34D5">
            <w:pPr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u w:val="single"/>
              </w:rPr>
              <w:t>Тема 15.</w:t>
            </w:r>
            <w:r w:rsidRPr="003A1F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3A1FB1">
              <w:rPr>
                <w:rFonts w:ascii="Times New Roman" w:hAnsi="Times New Roman" w:cs="Times New Roman"/>
                <w:i/>
              </w:rPr>
              <w:t>Соц</w:t>
            </w:r>
            <w:proofErr w:type="gramEnd"/>
            <w:r w:rsidRPr="003A1FB1">
              <w:rPr>
                <w:rFonts w:ascii="Times New Roman" w:hAnsi="Times New Roman" w:cs="Times New Roman"/>
                <w:i/>
              </w:rPr>
              <w:t>іально-психологічна</w:t>
            </w:r>
            <w:proofErr w:type="spellEnd"/>
            <w:r w:rsidRPr="003A1FB1">
              <w:rPr>
                <w:rFonts w:ascii="Times New Roman" w:hAnsi="Times New Roman" w:cs="Times New Roman"/>
                <w:i/>
              </w:rPr>
              <w:t xml:space="preserve"> служба</w:t>
            </w:r>
            <w:r w:rsidRPr="003A1FB1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</w:rPr>
            </w:pP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6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16</w:t>
            </w:r>
            <w:r w:rsidRPr="003A1FB1">
              <w:rPr>
                <w:rFonts w:ascii="Times New Roman" w:hAnsi="Times New Roman" w:cs="Times New Roman"/>
                <w:i/>
                <w:u w:val="single"/>
                <w:lang w:val="uk-UA"/>
              </w:rPr>
              <w:t>.</w:t>
            </w:r>
            <w:r w:rsidRPr="003A1FB1">
              <w:rPr>
                <w:rFonts w:ascii="Times New Roman" w:hAnsi="Times New Roman" w:cs="Times New Roman"/>
                <w:i/>
                <w:lang w:val="uk-UA"/>
              </w:rPr>
              <w:t xml:space="preserve"> Просвітницько-пропагандистська і профілактична робота психолога</w:t>
            </w:r>
            <w:r w:rsidRPr="003A1F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106BDC" w:rsidRPr="003A1FB1" w:rsidRDefault="00106BDC" w:rsidP="00CD34D5">
            <w:pPr>
              <w:rPr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7</w:t>
            </w:r>
          </w:p>
        </w:tc>
      </w:tr>
      <w:tr w:rsidR="00106BDC" w:rsidRPr="003A1FB1" w:rsidTr="00CD34D5">
        <w:tc>
          <w:tcPr>
            <w:tcW w:w="2802" w:type="dxa"/>
            <w:shd w:val="clear" w:color="auto" w:fill="auto"/>
          </w:tcPr>
          <w:p w:rsidR="00106BDC" w:rsidRPr="003A1FB1" w:rsidRDefault="00106BDC" w:rsidP="00CD34D5">
            <w:pPr>
              <w:rPr>
                <w:bCs/>
                <w:i/>
                <w:lang w:val="uk-UA"/>
              </w:rPr>
            </w:pPr>
            <w:r w:rsidRPr="003A1FB1">
              <w:rPr>
                <w:bCs/>
                <w:i/>
                <w:lang w:val="uk-UA"/>
              </w:rPr>
              <w:t>ВСЬОГО</w:t>
            </w:r>
          </w:p>
        </w:tc>
        <w:tc>
          <w:tcPr>
            <w:tcW w:w="1275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23</w:t>
            </w:r>
          </w:p>
        </w:tc>
        <w:tc>
          <w:tcPr>
            <w:tcW w:w="2077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57</w:t>
            </w:r>
          </w:p>
        </w:tc>
        <w:tc>
          <w:tcPr>
            <w:tcW w:w="834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106BDC" w:rsidRPr="003A1FB1" w:rsidRDefault="00106BDC" w:rsidP="00CD34D5">
            <w:pPr>
              <w:jc w:val="center"/>
              <w:rPr>
                <w:i/>
                <w:lang w:val="uk-UA"/>
              </w:rPr>
            </w:pPr>
            <w:r w:rsidRPr="003A1FB1">
              <w:rPr>
                <w:i/>
                <w:lang w:val="uk-UA"/>
              </w:rPr>
              <w:t>100</w:t>
            </w:r>
          </w:p>
        </w:tc>
      </w:tr>
    </w:tbl>
    <w:p w:rsidR="00106BDC" w:rsidRPr="003A1FB1" w:rsidRDefault="00106BDC" w:rsidP="00106BDC">
      <w:pPr>
        <w:rPr>
          <w:i/>
          <w:lang w:val="uk-UA"/>
        </w:rPr>
      </w:pPr>
    </w:p>
    <w:p w:rsidR="00106BDC" w:rsidRPr="003A1FB1" w:rsidRDefault="00106BDC" w:rsidP="00106BDC">
      <w:pPr>
        <w:rPr>
          <w:i/>
          <w:lang w:val="uk-UA"/>
        </w:rPr>
      </w:pPr>
    </w:p>
    <w:p w:rsidR="004952EA" w:rsidRPr="003A1FB1" w:rsidRDefault="004952EA" w:rsidP="00106BDC">
      <w:pPr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Критерії  та система оцінювання знань та вмінь студентів. </w:t>
      </w:r>
    </w:p>
    <w:p w:rsidR="004952EA" w:rsidRPr="003A1FB1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основних положень ЄКТС, під </w:t>
      </w:r>
      <w:r w:rsidRPr="003A1FB1">
        <w:rPr>
          <w:rFonts w:ascii="Times New Roman" w:hAnsi="Times New Roman" w:cs="Times New Roman"/>
          <w:bCs/>
          <w:i/>
          <w:sz w:val="24"/>
          <w:szCs w:val="24"/>
          <w:lang w:val="uk-UA"/>
        </w:rPr>
        <w:t>системою оцінювання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3A1FB1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3A1FB1">
        <w:rPr>
          <w:rFonts w:ascii="Times New Roman" w:hAnsi="Times New Roman" w:cs="Times New Roman"/>
          <w:bCs/>
          <w:i/>
          <w:sz w:val="24"/>
          <w:szCs w:val="24"/>
          <w:lang w:val="uk-UA"/>
        </w:rPr>
        <w:t>критеріями оцінювання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3A1FB1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Критерії оцінювання – 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3A1FB1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3A1FB1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3A1FB1" w:rsidRDefault="004952EA" w:rsidP="006E24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„відмінно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”, </w:t>
      </w:r>
      <w:proofErr w:type="spellStart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„добре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”, </w:t>
      </w:r>
      <w:proofErr w:type="spellStart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„задовільно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” чи </w:t>
      </w:r>
      <w:proofErr w:type="spellStart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„незадовільно</w:t>
      </w:r>
      <w:proofErr w:type="spellEnd"/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”) та у шкалу ЕСТ</w:t>
      </w:r>
      <w:r w:rsidRPr="003A1FB1">
        <w:rPr>
          <w:rFonts w:ascii="Times New Roman" w:hAnsi="Times New Roman" w:cs="Times New Roman"/>
          <w:i/>
          <w:sz w:val="24"/>
          <w:szCs w:val="24"/>
        </w:rPr>
        <w:t>S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(А, В, С, </w:t>
      </w:r>
      <w:r w:rsidRPr="003A1FB1">
        <w:rPr>
          <w:rFonts w:ascii="Times New Roman" w:hAnsi="Times New Roman" w:cs="Times New Roman"/>
          <w:i/>
          <w:sz w:val="24"/>
          <w:szCs w:val="24"/>
        </w:rPr>
        <w:t>D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Е, </w:t>
      </w:r>
      <w:r w:rsidRPr="003A1FB1">
        <w:rPr>
          <w:rFonts w:ascii="Times New Roman" w:hAnsi="Times New Roman" w:cs="Times New Roman"/>
          <w:i/>
          <w:sz w:val="24"/>
          <w:szCs w:val="24"/>
        </w:rPr>
        <w:t>F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Х, </w:t>
      </w:r>
      <w:r w:rsidRPr="003A1FB1">
        <w:rPr>
          <w:rFonts w:ascii="Times New Roman" w:hAnsi="Times New Roman" w:cs="Times New Roman"/>
          <w:i/>
          <w:sz w:val="24"/>
          <w:szCs w:val="24"/>
        </w:rPr>
        <w:t>F</w:t>
      </w:r>
      <w:r w:rsidRPr="003A1FB1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4952EA" w:rsidRPr="000E68D5" w:rsidRDefault="004952EA" w:rsidP="004952E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68D5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3A1FB1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Рейтингова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Національна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3A1FB1" w:rsidTr="00C15664">
        <w:trPr>
          <w:trHeight w:val="489"/>
        </w:trPr>
        <w:tc>
          <w:tcPr>
            <w:tcW w:w="1560" w:type="dxa"/>
            <w:vMerge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3A1FB1" w:rsidTr="00C15664">
        <w:trPr>
          <w:trHeight w:val="321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5</w:t>
            </w:r>
          </w:p>
        </w:tc>
      </w:tr>
      <w:tr w:rsidR="004952EA" w:rsidRPr="003A1FB1" w:rsidTr="00C15664">
        <w:trPr>
          <w:trHeight w:val="3735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Відмінно</w:t>
            </w:r>
          </w:p>
          <w:p w:rsidR="004952EA" w:rsidRPr="003A1FB1" w:rsidRDefault="004952EA" w:rsidP="00C15664">
            <w:pPr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Глибоке знання 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вміння аналізувати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вміння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проводити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теоретичні розрахунки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відповіді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запитання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чіткі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незначні неточності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3A1FB1" w:rsidTr="00C15664">
        <w:trPr>
          <w:trHeight w:val="145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Добре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Глибокий рівень знань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 обсязі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обов’язкового матеріалу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вміння давати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аргументовані відповіді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теоретичні розрахунки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вміння вирішувати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певні неточності;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952EA" w:rsidRPr="003A1FB1" w:rsidTr="00C15664">
        <w:trPr>
          <w:trHeight w:val="145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Добре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Міцні знання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-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вміння давати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аргументовані відповіді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теоретичні розрахунки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вміння вирішувати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3A1FB1" w:rsidTr="00C15664">
        <w:trPr>
          <w:trHeight w:val="145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Задовільно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Знання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основних фундаментальних положень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практичного застосування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практичні задачі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Невміння давати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аргументовані відповіді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аналізувати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викладений матеріал і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вирішувати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3A1FB1" w:rsidTr="00C15664">
        <w:trPr>
          <w:trHeight w:val="2807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Задовільно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Знання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основних фундаментальних положень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практичні задачі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Незнання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окремих (непринципових) питань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послідовно і аргументовано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розвязанні</w:t>
            </w:r>
            <w:proofErr w:type="spellEnd"/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3A1FB1" w:rsidTr="00C15664">
        <w:trPr>
          <w:trHeight w:val="3005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gramStart"/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gramEnd"/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Незадовільно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Додаткове вивчення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Незнання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основних фундаментальних положень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істотні помилки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розв’язувати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3A1FB1" w:rsidTr="00C15664">
        <w:trPr>
          <w:trHeight w:val="2793"/>
        </w:trPr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Незадовільно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952EA" w:rsidRPr="003A1FB1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3A1FB1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Повна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відсутність знань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істотні помилки</w:t>
            </w: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-незнання основних фундаментальних положень;</w:t>
            </w:r>
          </w:p>
          <w:p w:rsidR="004952EA" w:rsidRPr="003A1FB1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3A1F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3A1FB1" w:rsidRDefault="004952EA" w:rsidP="004952E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9620B" w:rsidRPr="003A1FB1" w:rsidRDefault="00A9620B" w:rsidP="006E2431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</w:pPr>
    </w:p>
    <w:p w:rsidR="00A9620B" w:rsidRPr="003A1FB1" w:rsidRDefault="00F1773A" w:rsidP="006E2431">
      <w:pPr>
        <w:ind w:left="106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3A1FB1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Основна</w:t>
      </w:r>
      <w:proofErr w:type="spellEnd"/>
      <w:r w:rsidRPr="003A1FB1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3A1FB1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література</w:t>
      </w:r>
      <w:proofErr w:type="spellEnd"/>
    </w:p>
    <w:p w:rsidR="00106BDC" w:rsidRPr="003A1FB1" w:rsidRDefault="00106BDC" w:rsidP="00106BDC">
      <w:pPr>
        <w:pStyle w:val="110"/>
        <w:numPr>
          <w:ilvl w:val="0"/>
          <w:numId w:val="12"/>
        </w:numPr>
        <w:spacing w:line="319" w:lineRule="exact"/>
        <w:ind w:left="0" w:firstLine="709"/>
        <w:jc w:val="both"/>
        <w:rPr>
          <w:b w:val="0"/>
          <w:i/>
        </w:rPr>
      </w:pPr>
      <w:r w:rsidRPr="003A1FB1">
        <w:rPr>
          <w:b w:val="0"/>
          <w:i/>
        </w:rPr>
        <w:t xml:space="preserve">Гура Т.В.  Програма, методичні вказівки та контрольні завдання з дисципліни «Вступ до спеціальності » для бакалаврів   очної та заочної форми навчання </w:t>
      </w:r>
      <w:proofErr w:type="spellStart"/>
      <w:r w:rsidRPr="003A1FB1">
        <w:rPr>
          <w:b w:val="0"/>
          <w:i/>
        </w:rPr>
        <w:t>спеціал</w:t>
      </w:r>
      <w:proofErr w:type="spellEnd"/>
      <w:r w:rsidRPr="003A1FB1">
        <w:rPr>
          <w:b w:val="0"/>
          <w:i/>
        </w:rPr>
        <w:t xml:space="preserve"> ь </w:t>
      </w:r>
      <w:proofErr w:type="spellStart"/>
      <w:r w:rsidRPr="003A1FB1">
        <w:rPr>
          <w:b w:val="0"/>
          <w:i/>
        </w:rPr>
        <w:t>ності</w:t>
      </w:r>
      <w:proofErr w:type="spellEnd"/>
      <w:r w:rsidRPr="003A1FB1">
        <w:rPr>
          <w:b w:val="0"/>
          <w:i/>
        </w:rPr>
        <w:t xml:space="preserve">  053 “Психологія”. НТУ «ХПІ», 2018. – 34 с.</w:t>
      </w:r>
    </w:p>
    <w:p w:rsidR="00106BDC" w:rsidRPr="003A1FB1" w:rsidRDefault="00106BDC" w:rsidP="00106BDC">
      <w:pPr>
        <w:pStyle w:val="110"/>
        <w:numPr>
          <w:ilvl w:val="0"/>
          <w:numId w:val="12"/>
        </w:numPr>
        <w:spacing w:line="319" w:lineRule="exact"/>
        <w:ind w:left="0" w:firstLine="709"/>
        <w:jc w:val="both"/>
        <w:rPr>
          <w:b w:val="0"/>
          <w:i/>
        </w:rPr>
      </w:pPr>
      <w:r w:rsidRPr="003A1FB1">
        <w:rPr>
          <w:b w:val="0"/>
          <w:i/>
        </w:rPr>
        <w:t xml:space="preserve"> </w:t>
      </w:r>
      <w:proofErr w:type="spellStart"/>
      <w:r w:rsidRPr="003A1FB1">
        <w:rPr>
          <w:b w:val="0"/>
          <w:i/>
        </w:rPr>
        <w:t>Дуткевич</w:t>
      </w:r>
      <w:proofErr w:type="spellEnd"/>
      <w:r w:rsidRPr="003A1FB1">
        <w:rPr>
          <w:b w:val="0"/>
          <w:i/>
          <w:spacing w:val="-1"/>
        </w:rPr>
        <w:t xml:space="preserve"> </w:t>
      </w:r>
      <w:r w:rsidRPr="003A1FB1">
        <w:rPr>
          <w:b w:val="0"/>
          <w:i/>
        </w:rPr>
        <w:t>Т.В.,</w:t>
      </w:r>
      <w:r w:rsidRPr="003A1FB1">
        <w:rPr>
          <w:b w:val="0"/>
          <w:i/>
          <w:spacing w:val="-4"/>
        </w:rPr>
        <w:t xml:space="preserve"> </w:t>
      </w:r>
      <w:r w:rsidRPr="003A1FB1">
        <w:rPr>
          <w:b w:val="0"/>
          <w:i/>
        </w:rPr>
        <w:t>Савицька</w:t>
      </w:r>
      <w:r w:rsidRPr="003A1FB1">
        <w:rPr>
          <w:b w:val="0"/>
          <w:i/>
          <w:spacing w:val="-2"/>
        </w:rPr>
        <w:t xml:space="preserve"> </w:t>
      </w:r>
      <w:r w:rsidRPr="003A1FB1">
        <w:rPr>
          <w:b w:val="0"/>
          <w:i/>
        </w:rPr>
        <w:t>О.В.</w:t>
      </w:r>
      <w:r w:rsidRPr="003A1FB1">
        <w:rPr>
          <w:b w:val="0"/>
          <w:i/>
          <w:spacing w:val="95"/>
        </w:rPr>
        <w:t xml:space="preserve"> </w:t>
      </w:r>
      <w:r w:rsidRPr="003A1FB1">
        <w:rPr>
          <w:b w:val="0"/>
          <w:i/>
        </w:rPr>
        <w:t>Вступ</w:t>
      </w:r>
      <w:r w:rsidRPr="003A1FB1">
        <w:rPr>
          <w:b w:val="0"/>
          <w:i/>
        </w:rPr>
        <w:tab/>
        <w:t>до</w:t>
      </w:r>
      <w:r w:rsidRPr="003A1FB1">
        <w:rPr>
          <w:b w:val="0"/>
          <w:i/>
        </w:rPr>
        <w:tab/>
        <w:t>спеціальності:</w:t>
      </w:r>
      <w:r w:rsidRPr="003A1FB1">
        <w:rPr>
          <w:b w:val="0"/>
          <w:i/>
        </w:rPr>
        <w:tab/>
        <w:t xml:space="preserve">                     Практична</w:t>
      </w:r>
      <w:r w:rsidRPr="003A1FB1">
        <w:rPr>
          <w:b w:val="0"/>
          <w:i/>
        </w:rPr>
        <w:tab/>
        <w:t>психологія:</w:t>
      </w:r>
      <w:r w:rsidRPr="003A1FB1">
        <w:rPr>
          <w:b w:val="0"/>
          <w:i/>
        </w:rPr>
        <w:tab/>
        <w:t>Курс</w:t>
      </w:r>
      <w:r w:rsidRPr="003A1FB1">
        <w:rPr>
          <w:b w:val="0"/>
          <w:i/>
        </w:rPr>
        <w:tab/>
        <w:t>лекцій</w:t>
      </w:r>
      <w:r w:rsidRPr="003A1FB1">
        <w:rPr>
          <w:b w:val="0"/>
          <w:i/>
        </w:rPr>
        <w:tab/>
        <w:t>і</w:t>
      </w:r>
      <w:r w:rsidRPr="003A1FB1">
        <w:rPr>
          <w:b w:val="0"/>
          <w:i/>
        </w:rPr>
        <w:tab/>
      </w:r>
      <w:r w:rsidRPr="003A1FB1">
        <w:rPr>
          <w:b w:val="0"/>
          <w:i/>
          <w:spacing w:val="-2"/>
        </w:rPr>
        <w:t>прак</w:t>
      </w:r>
      <w:r w:rsidRPr="003A1FB1">
        <w:rPr>
          <w:b w:val="0"/>
          <w:i/>
        </w:rPr>
        <w:t>тикум (навчальний</w:t>
      </w:r>
      <w:r w:rsidRPr="003A1FB1">
        <w:rPr>
          <w:b w:val="0"/>
          <w:i/>
          <w:spacing w:val="-3"/>
        </w:rPr>
        <w:t xml:space="preserve"> </w:t>
      </w:r>
      <w:r w:rsidRPr="003A1FB1">
        <w:rPr>
          <w:b w:val="0"/>
          <w:i/>
        </w:rPr>
        <w:t>посібник).</w:t>
      </w:r>
      <w:r w:rsidRPr="003A1FB1">
        <w:rPr>
          <w:b w:val="0"/>
          <w:i/>
          <w:spacing w:val="1"/>
        </w:rPr>
        <w:t xml:space="preserve"> </w:t>
      </w:r>
      <w:r w:rsidRPr="003A1FB1">
        <w:rPr>
          <w:b w:val="0"/>
          <w:i/>
        </w:rPr>
        <w:t>-</w:t>
      </w:r>
      <w:r w:rsidRPr="003A1FB1">
        <w:rPr>
          <w:b w:val="0"/>
          <w:i/>
          <w:spacing w:val="-3"/>
        </w:rPr>
        <w:t xml:space="preserve"> </w:t>
      </w:r>
      <w:r w:rsidRPr="003A1FB1">
        <w:rPr>
          <w:b w:val="0"/>
          <w:i/>
        </w:rPr>
        <w:t>Кам'янець-Подільський:</w:t>
      </w:r>
      <w:r w:rsidRPr="003A1FB1">
        <w:rPr>
          <w:b w:val="0"/>
          <w:i/>
          <w:spacing w:val="-3"/>
        </w:rPr>
        <w:t xml:space="preserve"> </w:t>
      </w:r>
      <w:r w:rsidRPr="003A1FB1">
        <w:rPr>
          <w:b w:val="0"/>
          <w:i/>
        </w:rPr>
        <w:t>Аксіома,</w:t>
      </w:r>
      <w:r w:rsidRPr="003A1FB1">
        <w:rPr>
          <w:b w:val="0"/>
          <w:i/>
          <w:spacing w:val="1"/>
        </w:rPr>
        <w:t xml:space="preserve"> </w:t>
      </w:r>
      <w:r w:rsidRPr="003A1FB1">
        <w:rPr>
          <w:b w:val="0"/>
          <w:i/>
        </w:rPr>
        <w:t>2005.</w:t>
      </w:r>
      <w:r w:rsidRPr="003A1FB1">
        <w:rPr>
          <w:b w:val="0"/>
          <w:i/>
          <w:spacing w:val="1"/>
        </w:rPr>
        <w:t xml:space="preserve"> </w:t>
      </w:r>
      <w:r w:rsidRPr="003A1FB1">
        <w:rPr>
          <w:b w:val="0"/>
          <w:i/>
        </w:rPr>
        <w:t>208</w:t>
      </w:r>
      <w:r w:rsidRPr="003A1FB1">
        <w:rPr>
          <w:b w:val="0"/>
          <w:i/>
          <w:spacing w:val="-2"/>
        </w:rPr>
        <w:t xml:space="preserve"> </w:t>
      </w:r>
      <w:r w:rsidRPr="003A1FB1">
        <w:rPr>
          <w:b w:val="0"/>
          <w:i/>
        </w:rPr>
        <w:t>с.</w:t>
      </w:r>
    </w:p>
    <w:p w:rsidR="00106BDC" w:rsidRPr="003A1FB1" w:rsidRDefault="00106BDC" w:rsidP="00106BDC">
      <w:pPr>
        <w:pStyle w:val="110"/>
        <w:numPr>
          <w:ilvl w:val="0"/>
          <w:numId w:val="12"/>
        </w:numPr>
        <w:spacing w:line="319" w:lineRule="exact"/>
        <w:ind w:left="0" w:firstLine="709"/>
        <w:jc w:val="both"/>
        <w:rPr>
          <w:b w:val="0"/>
          <w:i/>
        </w:rPr>
      </w:pPr>
      <w:r w:rsidRPr="003A1FB1">
        <w:rPr>
          <w:b w:val="0"/>
          <w:i/>
        </w:rPr>
        <w:t xml:space="preserve"> Приходько Ю.О. Практична психологія. Введення в професію [Текст] : </w:t>
      </w:r>
      <w:proofErr w:type="spellStart"/>
      <w:r w:rsidRPr="003A1FB1">
        <w:rPr>
          <w:b w:val="0"/>
          <w:i/>
        </w:rPr>
        <w:t>навч</w:t>
      </w:r>
      <w:proofErr w:type="spellEnd"/>
      <w:r w:rsidRPr="003A1FB1">
        <w:rPr>
          <w:b w:val="0"/>
          <w:i/>
        </w:rPr>
        <w:t xml:space="preserve">. посібник . НПУ.  3-тє вид., </w:t>
      </w:r>
      <w:proofErr w:type="spellStart"/>
      <w:r w:rsidRPr="003A1FB1">
        <w:rPr>
          <w:b w:val="0"/>
          <w:i/>
        </w:rPr>
        <w:t>доп.-</w:t>
      </w:r>
      <w:proofErr w:type="spellEnd"/>
      <w:r w:rsidRPr="003A1FB1">
        <w:rPr>
          <w:b w:val="0"/>
          <w:i/>
        </w:rPr>
        <w:t xml:space="preserve"> К.: Каравела, 2010. 248 с.</w:t>
      </w:r>
    </w:p>
    <w:p w:rsidR="00106BDC" w:rsidRPr="003A1FB1" w:rsidRDefault="00106BDC" w:rsidP="00106BDC">
      <w:pPr>
        <w:pStyle w:val="110"/>
        <w:spacing w:line="319" w:lineRule="exact"/>
        <w:ind w:left="709"/>
        <w:jc w:val="both"/>
        <w:rPr>
          <w:b w:val="0"/>
          <w:i/>
        </w:rPr>
      </w:pPr>
    </w:p>
    <w:p w:rsidR="000E68D5" w:rsidRDefault="000E68D5" w:rsidP="00C82462">
      <w:pPr>
        <w:pStyle w:val="a3"/>
        <w:shd w:val="clear" w:color="auto" w:fill="auto"/>
        <w:spacing w:line="360" w:lineRule="auto"/>
        <w:ind w:firstLine="0"/>
        <w:rPr>
          <w:i/>
          <w:sz w:val="24"/>
          <w:szCs w:val="24"/>
          <w:lang w:val="uk-UA" w:eastAsia="uk-UA"/>
        </w:rPr>
      </w:pPr>
    </w:p>
    <w:p w:rsidR="000E68D5" w:rsidRDefault="000E68D5" w:rsidP="00C82462">
      <w:pPr>
        <w:pStyle w:val="a3"/>
        <w:shd w:val="clear" w:color="auto" w:fill="auto"/>
        <w:spacing w:line="360" w:lineRule="auto"/>
        <w:ind w:firstLine="0"/>
        <w:rPr>
          <w:i/>
          <w:sz w:val="24"/>
          <w:szCs w:val="24"/>
          <w:lang w:val="uk-UA" w:eastAsia="uk-UA"/>
        </w:rPr>
      </w:pPr>
    </w:p>
    <w:p w:rsidR="00C82462" w:rsidRPr="000E68D5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i/>
          <w:sz w:val="24"/>
          <w:szCs w:val="24"/>
          <w:lang w:val="uk-UA" w:eastAsia="uk-UA"/>
        </w:rPr>
      </w:pPr>
      <w:bookmarkStart w:id="1" w:name="_GoBack"/>
      <w:r w:rsidRPr="000E68D5">
        <w:rPr>
          <w:b/>
          <w:i/>
          <w:sz w:val="24"/>
          <w:szCs w:val="24"/>
          <w:lang w:val="uk-UA" w:eastAsia="uk-UA"/>
        </w:rPr>
        <w:lastRenderedPageBreak/>
        <w:t>Структурно-логічна схема вивчення навчальної дисципліни</w:t>
      </w:r>
    </w:p>
    <w:bookmarkEnd w:id="1"/>
    <w:p w:rsidR="00C82462" w:rsidRPr="003A1FB1" w:rsidRDefault="00C82462" w:rsidP="00C82462">
      <w:pPr>
        <w:ind w:firstLine="708"/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</w:pPr>
    </w:p>
    <w:p w:rsidR="00C82462" w:rsidRPr="003A1FB1" w:rsidRDefault="00C82462" w:rsidP="00C82462">
      <w:pPr>
        <w:ind w:firstLine="708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3A1FB1"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  <w:t xml:space="preserve">Таблиця </w:t>
      </w:r>
      <w:r w:rsidR="00122496" w:rsidRPr="003A1FB1"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  <w:t>4</w:t>
      </w:r>
      <w:r w:rsidRPr="003A1FB1"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  <w:t xml:space="preserve">. – </w:t>
      </w:r>
      <w:r w:rsidR="002F5439" w:rsidRPr="003A1FB1"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  <w:t>П</w:t>
      </w:r>
      <w:r w:rsidRPr="003A1FB1">
        <w:rPr>
          <w:rStyle w:val="2"/>
          <w:b w:val="0"/>
          <w:bCs w:val="0"/>
          <w:i/>
          <w:sz w:val="24"/>
          <w:szCs w:val="24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5439" w:rsidRPr="003A1FB1" w:rsidTr="005F3A70">
        <w:tc>
          <w:tcPr>
            <w:tcW w:w="4785" w:type="dxa"/>
          </w:tcPr>
          <w:p w:rsidR="002F5439" w:rsidRPr="003A1FB1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3A1FB1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3A1FB1" w:rsidTr="00C82462">
        <w:tc>
          <w:tcPr>
            <w:tcW w:w="4785" w:type="dxa"/>
            <w:vAlign w:val="center"/>
          </w:tcPr>
          <w:p w:rsidR="00C82462" w:rsidRPr="003A1FB1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i/>
                <w:sz w:val="24"/>
                <w:szCs w:val="24"/>
                <w:lang w:val="uk-UA" w:eastAsia="uk-UA"/>
              </w:rPr>
            </w:pPr>
            <w:r w:rsidRPr="003A1FB1">
              <w:rPr>
                <w:bCs/>
                <w:i/>
                <w:sz w:val="24"/>
                <w:szCs w:val="24"/>
                <w:lang w:val="uk-UA" w:eastAsia="uk-UA"/>
              </w:rPr>
              <w:t>Загальна психологія.</w:t>
            </w:r>
          </w:p>
        </w:tc>
      </w:tr>
      <w:tr w:rsidR="00C82462" w:rsidRPr="003A1FB1" w:rsidTr="00C82462">
        <w:tc>
          <w:tcPr>
            <w:tcW w:w="4785" w:type="dxa"/>
            <w:vAlign w:val="center"/>
          </w:tcPr>
          <w:p w:rsidR="00C82462" w:rsidRPr="003A1FB1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i/>
                <w:sz w:val="24"/>
                <w:szCs w:val="24"/>
                <w:lang w:val="uk-UA" w:eastAsia="uk-UA"/>
              </w:rPr>
            </w:pPr>
            <w:r w:rsidRPr="003A1FB1">
              <w:rPr>
                <w:bCs/>
                <w:i/>
                <w:sz w:val="24"/>
                <w:szCs w:val="24"/>
                <w:lang w:val="uk-UA" w:eastAsia="uk-UA"/>
              </w:rPr>
              <w:t>Основи психологічного консультування</w:t>
            </w:r>
          </w:p>
        </w:tc>
      </w:tr>
      <w:tr w:rsidR="00C82462" w:rsidRPr="003A1FB1" w:rsidTr="00C82462">
        <w:tc>
          <w:tcPr>
            <w:tcW w:w="4785" w:type="dxa"/>
            <w:vAlign w:val="center"/>
          </w:tcPr>
          <w:p w:rsidR="00C82462" w:rsidRPr="003A1FB1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  <w:r w:rsidRPr="003A1FB1">
              <w:rPr>
                <w:i/>
                <w:sz w:val="24"/>
                <w:szCs w:val="24"/>
                <w:lang w:val="uk-UA" w:eastAsia="uk-UA"/>
              </w:rPr>
              <w:t>Основи психотерапії</w:t>
            </w:r>
          </w:p>
        </w:tc>
      </w:tr>
      <w:tr w:rsidR="00106BDC" w:rsidRPr="003A1FB1" w:rsidTr="00C82462">
        <w:tc>
          <w:tcPr>
            <w:tcW w:w="4785" w:type="dxa"/>
            <w:vAlign w:val="center"/>
          </w:tcPr>
          <w:p w:rsidR="00106BDC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106BDC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  <w:r w:rsidRPr="003A1FB1">
              <w:rPr>
                <w:i/>
                <w:sz w:val="24"/>
                <w:szCs w:val="24"/>
                <w:lang w:val="uk-UA" w:eastAsia="uk-UA"/>
              </w:rPr>
              <w:t>Психодіагностика</w:t>
            </w:r>
          </w:p>
        </w:tc>
      </w:tr>
      <w:tr w:rsidR="00106BDC" w:rsidRPr="003A1FB1" w:rsidTr="00C82462">
        <w:tc>
          <w:tcPr>
            <w:tcW w:w="4785" w:type="dxa"/>
            <w:vAlign w:val="center"/>
          </w:tcPr>
          <w:p w:rsidR="00106BDC" w:rsidRPr="003A1FB1" w:rsidRDefault="00106BD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106BDC" w:rsidRPr="003A1FB1" w:rsidRDefault="003A1FB1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 w:eastAsia="uk-UA"/>
              </w:rPr>
            </w:pPr>
            <w:r w:rsidRPr="003A1FB1">
              <w:rPr>
                <w:i/>
                <w:sz w:val="24"/>
                <w:szCs w:val="24"/>
                <w:lang w:val="uk-UA" w:eastAsia="uk-UA"/>
              </w:rPr>
              <w:t>Соціально-психологічний тренінг</w:t>
            </w:r>
          </w:p>
        </w:tc>
      </w:tr>
    </w:tbl>
    <w:p w:rsidR="00756924" w:rsidRPr="003A1FB1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i/>
          <w:sz w:val="24"/>
          <w:szCs w:val="24"/>
          <w:lang w:val="uk-UA" w:eastAsia="uk-UA"/>
        </w:rPr>
      </w:pPr>
      <w:proofErr w:type="spellStart"/>
      <w:r w:rsidRPr="003A1FB1">
        <w:rPr>
          <w:i/>
          <w:sz w:val="24"/>
          <w:szCs w:val="24"/>
          <w:lang w:eastAsia="uk-UA"/>
        </w:rPr>
        <w:t>Провідний</w:t>
      </w:r>
      <w:proofErr w:type="spellEnd"/>
      <w:r w:rsidRPr="003A1FB1">
        <w:rPr>
          <w:i/>
          <w:sz w:val="24"/>
          <w:szCs w:val="24"/>
          <w:lang w:eastAsia="uk-UA"/>
        </w:rPr>
        <w:t xml:space="preserve"> лектор: </w:t>
      </w:r>
      <w:r w:rsidR="000232D3" w:rsidRPr="003A1FB1">
        <w:rPr>
          <w:bCs/>
          <w:i/>
          <w:sz w:val="24"/>
          <w:szCs w:val="24"/>
          <w:lang w:val="uk-UA" w:eastAsia="uk-UA"/>
        </w:rPr>
        <w:t xml:space="preserve">проф. </w:t>
      </w:r>
      <w:r w:rsidR="003A1FB1">
        <w:rPr>
          <w:bCs/>
          <w:i/>
          <w:sz w:val="24"/>
          <w:szCs w:val="24"/>
          <w:lang w:val="uk-UA" w:eastAsia="uk-UA"/>
        </w:rPr>
        <w:t>,к. п. н., доц</w:t>
      </w:r>
      <w:proofErr w:type="gramStart"/>
      <w:r w:rsidR="003A1FB1">
        <w:rPr>
          <w:bCs/>
          <w:i/>
          <w:sz w:val="24"/>
          <w:szCs w:val="24"/>
          <w:lang w:val="uk-UA" w:eastAsia="uk-UA"/>
        </w:rPr>
        <w:t>.</w:t>
      </w:r>
      <w:r w:rsidR="000232D3" w:rsidRPr="003A1FB1">
        <w:rPr>
          <w:bCs/>
          <w:i/>
          <w:sz w:val="24"/>
          <w:szCs w:val="24"/>
          <w:lang w:val="uk-UA" w:eastAsia="uk-UA"/>
        </w:rPr>
        <w:t>Т</w:t>
      </w:r>
      <w:proofErr w:type="gramEnd"/>
      <w:r w:rsidR="000232D3" w:rsidRPr="003A1FB1">
        <w:rPr>
          <w:bCs/>
          <w:i/>
          <w:sz w:val="24"/>
          <w:szCs w:val="24"/>
          <w:lang w:val="uk-UA" w:eastAsia="uk-UA"/>
        </w:rPr>
        <w:t>етяна ГУРА</w:t>
      </w:r>
      <w:r w:rsidR="00756924" w:rsidRPr="003A1FB1">
        <w:rPr>
          <w:i/>
          <w:sz w:val="24"/>
          <w:szCs w:val="24"/>
          <w:lang w:val="uk-UA" w:eastAsia="uk-UA"/>
        </w:rPr>
        <w:t>__</w:t>
      </w:r>
      <w:r w:rsidR="00756924" w:rsidRPr="003A1FB1">
        <w:rPr>
          <w:i/>
          <w:sz w:val="24"/>
          <w:szCs w:val="24"/>
          <w:lang w:val="uk-UA" w:eastAsia="uk-UA"/>
        </w:rPr>
        <w:tab/>
      </w:r>
      <w:r w:rsidR="00756924" w:rsidRPr="003A1FB1">
        <w:rPr>
          <w:i/>
          <w:sz w:val="24"/>
          <w:szCs w:val="24"/>
          <w:lang w:val="uk-UA" w:eastAsia="uk-UA"/>
        </w:rPr>
        <w:tab/>
        <w:t>________________</w:t>
      </w:r>
    </w:p>
    <w:p w:rsidR="00F1773A" w:rsidRPr="003A1FB1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i/>
          <w:sz w:val="24"/>
          <w:szCs w:val="24"/>
          <w:lang w:val="uk-UA" w:eastAsia="uk-UA"/>
        </w:rPr>
      </w:pPr>
      <w:r w:rsidRPr="003A1FB1">
        <w:rPr>
          <w:i/>
          <w:sz w:val="24"/>
          <w:szCs w:val="24"/>
          <w:lang w:val="uk-UA" w:eastAsia="uk-UA"/>
        </w:rPr>
        <w:t>(посада, звання, ПІБ)</w:t>
      </w:r>
      <w:r w:rsidR="00756924" w:rsidRPr="003A1FB1">
        <w:rPr>
          <w:i/>
          <w:sz w:val="24"/>
          <w:szCs w:val="24"/>
          <w:lang w:val="uk-UA" w:eastAsia="uk-UA"/>
        </w:rPr>
        <w:tab/>
      </w:r>
      <w:r w:rsidR="00756924" w:rsidRPr="003A1FB1">
        <w:rPr>
          <w:i/>
          <w:sz w:val="24"/>
          <w:szCs w:val="24"/>
          <w:lang w:val="uk-UA" w:eastAsia="uk-UA"/>
        </w:rPr>
        <w:tab/>
      </w:r>
      <w:r w:rsidR="00756924" w:rsidRPr="003A1FB1">
        <w:rPr>
          <w:i/>
          <w:sz w:val="24"/>
          <w:szCs w:val="24"/>
          <w:lang w:val="uk-UA" w:eastAsia="uk-UA"/>
        </w:rPr>
        <w:tab/>
      </w:r>
      <w:r w:rsidR="00756924" w:rsidRPr="003A1FB1">
        <w:rPr>
          <w:i/>
          <w:sz w:val="24"/>
          <w:szCs w:val="24"/>
          <w:lang w:val="uk-UA" w:eastAsia="uk-UA"/>
        </w:rPr>
        <w:tab/>
        <w:t>(підпис)</w:t>
      </w:r>
    </w:p>
    <w:p w:rsidR="004952EA" w:rsidRPr="003A1FB1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i/>
          <w:sz w:val="24"/>
          <w:szCs w:val="24"/>
          <w:lang w:val="uk-UA" w:eastAsia="uk-UA"/>
        </w:rPr>
      </w:pPr>
    </w:p>
    <w:p w:rsidR="004952EA" w:rsidRPr="003A1FB1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i/>
          <w:sz w:val="24"/>
          <w:szCs w:val="24"/>
        </w:rPr>
      </w:pPr>
    </w:p>
    <w:sectPr w:rsidR="004952EA" w:rsidRPr="003A1FB1" w:rsidSect="000E68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B14226"/>
    <w:multiLevelType w:val="hybridMultilevel"/>
    <w:tmpl w:val="A5681A3C"/>
    <w:lvl w:ilvl="0" w:tplc="0E9A68E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7006AF"/>
    <w:multiLevelType w:val="hybridMultilevel"/>
    <w:tmpl w:val="C22A3D00"/>
    <w:lvl w:ilvl="0" w:tplc="FB28D8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25F47"/>
    <w:multiLevelType w:val="hybridMultilevel"/>
    <w:tmpl w:val="E5AA29A4"/>
    <w:lvl w:ilvl="0" w:tplc="D42E9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C7DC0"/>
    <w:multiLevelType w:val="multilevel"/>
    <w:tmpl w:val="441434A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9">
    <w:nsid w:val="6B9469ED"/>
    <w:multiLevelType w:val="hybridMultilevel"/>
    <w:tmpl w:val="94947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232D3"/>
    <w:rsid w:val="00036825"/>
    <w:rsid w:val="00055B40"/>
    <w:rsid w:val="000A3B23"/>
    <w:rsid w:val="000C0B0A"/>
    <w:rsid w:val="000D0FE8"/>
    <w:rsid w:val="000E68D5"/>
    <w:rsid w:val="00106BDC"/>
    <w:rsid w:val="00122496"/>
    <w:rsid w:val="00124CE4"/>
    <w:rsid w:val="001923CD"/>
    <w:rsid w:val="00193056"/>
    <w:rsid w:val="001935E5"/>
    <w:rsid w:val="00193AB9"/>
    <w:rsid w:val="001E4512"/>
    <w:rsid w:val="00204D1E"/>
    <w:rsid w:val="0024688A"/>
    <w:rsid w:val="002F3893"/>
    <w:rsid w:val="002F5439"/>
    <w:rsid w:val="003134E6"/>
    <w:rsid w:val="00314B5F"/>
    <w:rsid w:val="0032731F"/>
    <w:rsid w:val="00383615"/>
    <w:rsid w:val="00385235"/>
    <w:rsid w:val="003A1FB1"/>
    <w:rsid w:val="003C1E37"/>
    <w:rsid w:val="00430184"/>
    <w:rsid w:val="004661DE"/>
    <w:rsid w:val="00472FED"/>
    <w:rsid w:val="00481B0A"/>
    <w:rsid w:val="004853C7"/>
    <w:rsid w:val="004952EA"/>
    <w:rsid w:val="004D76E1"/>
    <w:rsid w:val="005118D4"/>
    <w:rsid w:val="005235CF"/>
    <w:rsid w:val="00545EC9"/>
    <w:rsid w:val="00553539"/>
    <w:rsid w:val="0056572A"/>
    <w:rsid w:val="00567BCE"/>
    <w:rsid w:val="00572BFF"/>
    <w:rsid w:val="005A0BE2"/>
    <w:rsid w:val="005C3172"/>
    <w:rsid w:val="00623F85"/>
    <w:rsid w:val="00623FC8"/>
    <w:rsid w:val="00636B6D"/>
    <w:rsid w:val="006435B0"/>
    <w:rsid w:val="00656308"/>
    <w:rsid w:val="006707BB"/>
    <w:rsid w:val="006E2431"/>
    <w:rsid w:val="0073127A"/>
    <w:rsid w:val="00756924"/>
    <w:rsid w:val="0075697D"/>
    <w:rsid w:val="00794B79"/>
    <w:rsid w:val="007966A3"/>
    <w:rsid w:val="00803730"/>
    <w:rsid w:val="0086257F"/>
    <w:rsid w:val="008872FD"/>
    <w:rsid w:val="008B6D6F"/>
    <w:rsid w:val="00905DFD"/>
    <w:rsid w:val="00934556"/>
    <w:rsid w:val="00950C44"/>
    <w:rsid w:val="00983D89"/>
    <w:rsid w:val="00996C39"/>
    <w:rsid w:val="00A31A46"/>
    <w:rsid w:val="00A70257"/>
    <w:rsid w:val="00A94B61"/>
    <w:rsid w:val="00A9620B"/>
    <w:rsid w:val="00AD2C51"/>
    <w:rsid w:val="00B04095"/>
    <w:rsid w:val="00B219AF"/>
    <w:rsid w:val="00B316D0"/>
    <w:rsid w:val="00B37B88"/>
    <w:rsid w:val="00B6338D"/>
    <w:rsid w:val="00BA5FB6"/>
    <w:rsid w:val="00C02477"/>
    <w:rsid w:val="00C3515F"/>
    <w:rsid w:val="00C50540"/>
    <w:rsid w:val="00C64BE9"/>
    <w:rsid w:val="00C82462"/>
    <w:rsid w:val="00D221C1"/>
    <w:rsid w:val="00D449D8"/>
    <w:rsid w:val="00D569CB"/>
    <w:rsid w:val="00D87476"/>
    <w:rsid w:val="00DC3A30"/>
    <w:rsid w:val="00DD246B"/>
    <w:rsid w:val="00DD632A"/>
    <w:rsid w:val="00E11AD1"/>
    <w:rsid w:val="00E9463F"/>
    <w:rsid w:val="00EB3956"/>
    <w:rsid w:val="00EC1303"/>
    <w:rsid w:val="00F176D9"/>
    <w:rsid w:val="00F1773A"/>
    <w:rsid w:val="00F92402"/>
    <w:rsid w:val="00F97C30"/>
    <w:rsid w:val="00FA3A9C"/>
    <w:rsid w:val="00FB0B89"/>
    <w:rsid w:val="00FC4AEF"/>
    <w:rsid w:val="00FE1F66"/>
    <w:rsid w:val="00FE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data">
    <w:name w:val="docdata"/>
    <w:aliases w:val="docy,v5,2158,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D87476"/>
  </w:style>
  <w:style w:type="paragraph" w:styleId="ae">
    <w:name w:val="footer"/>
    <w:basedOn w:val="a"/>
    <w:link w:val="af"/>
    <w:rsid w:val="008872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872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horttext">
    <w:name w:val="short_text"/>
    <w:basedOn w:val="a0"/>
    <w:rsid w:val="008872FD"/>
  </w:style>
  <w:style w:type="character" w:customStyle="1" w:styleId="a-size-extra-large">
    <w:name w:val="a-size-extra-large"/>
    <w:basedOn w:val="a0"/>
    <w:rsid w:val="006E2431"/>
  </w:style>
  <w:style w:type="character" w:customStyle="1" w:styleId="author">
    <w:name w:val="author"/>
    <w:basedOn w:val="a0"/>
    <w:rsid w:val="006E2431"/>
  </w:style>
  <w:style w:type="paragraph" w:customStyle="1" w:styleId="110">
    <w:name w:val="Заголовок 11"/>
    <w:basedOn w:val="a"/>
    <w:uiPriority w:val="1"/>
    <w:qFormat/>
    <w:rsid w:val="00106BDC"/>
    <w:pPr>
      <w:widowControl w:val="0"/>
      <w:autoSpaceDE w:val="0"/>
      <w:autoSpaceDN w:val="0"/>
      <w:ind w:left="93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730A-5089-4B9A-840F-D4E0C6E2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3</cp:revision>
  <cp:lastPrinted>2022-02-10T12:10:00Z</cp:lastPrinted>
  <dcterms:created xsi:type="dcterms:W3CDTF">2022-02-10T12:03:00Z</dcterms:created>
  <dcterms:modified xsi:type="dcterms:W3CDTF">2022-02-10T12:10:00Z</dcterms:modified>
</cp:coreProperties>
</file>