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4B58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B5827" w:rsidRDefault="00187998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Основи </w:t>
            </w:r>
            <w:proofErr w:type="spellStart"/>
            <w:r w:rsidR="00DA5188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психометрики</w:t>
            </w:r>
            <w:proofErr w:type="spellEnd"/>
          </w:p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4B58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B582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Книш Анастасія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B5827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N_knysh@ukr.net</w:t>
            </w:r>
          </w:p>
        </w:tc>
      </w:tr>
      <w:tr w:rsidR="004952EA" w:rsidRPr="004B5827" w:rsidTr="00FC4760">
        <w:trPr>
          <w:trHeight w:val="2399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FC476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2525" cy="1630091"/>
                  <wp:effectExtent l="19050" t="0" r="9525" b="0"/>
                  <wp:docPr id="2" name="Рисунок 1" descr="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ysh-foto 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75" cy="163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B5827" w:rsidRDefault="00FC4760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C313B1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Кандидат психологічних наук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80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Диференційна психологія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Прикладна статистика в психології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коучингу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в діяльності HR-менеджера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4B5827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FC4760" w:rsidP="00DA5188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здобувачі ознайомлюються з </w:t>
            </w:r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можливостями </w:t>
            </w:r>
            <w:proofErr w:type="spellStart"/>
            <w:r w:rsidR="00DA518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психометрики</w:t>
            </w:r>
            <w:proofErr w:type="spellEnd"/>
            <w:r w:rsidR="00DA518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в процесі створення і апробації психологічних тестів та інструментів оцінки знань в освітньому процесі.</w:t>
            </w:r>
          </w:p>
        </w:tc>
      </w:tr>
      <w:tr w:rsidR="004952EA" w:rsidRPr="00C313B1" w:rsidTr="00FC4760">
        <w:trPr>
          <w:trHeight w:val="69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DA5188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51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Метою викладання навчальної дисципліни «Основи </w:t>
            </w:r>
            <w:proofErr w:type="spellStart"/>
            <w:r w:rsidRPr="00DA51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психометрики</w:t>
            </w:r>
            <w:proofErr w:type="spellEnd"/>
            <w:r w:rsidRPr="00DA51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є загальне ознайомлення студентів з можливостями психометричних інструментів при апробації </w:t>
            </w:r>
            <w:proofErr w:type="spellStart"/>
            <w:r w:rsidRPr="00DA51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психодіагностичних</w:t>
            </w:r>
            <w:proofErr w:type="spellEnd"/>
            <w:r w:rsidRPr="00DA51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освітніх методик.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B5827" w:rsidRDefault="000A3B23" w:rsidP="00076659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="000766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766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4B58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B5827" w:rsidRDefault="00076659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4B58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4B58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DA5188" w:rsidRPr="00F46AFB" w:rsidRDefault="00DA5188" w:rsidP="00DA5188">
      <w:pPr>
        <w:tabs>
          <w:tab w:val="left" w:pos="284"/>
          <w:tab w:val="left" w:pos="567"/>
        </w:tabs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ПР1. Здійснювати пошук, опрацювання та аналіз професійно важливих знань із різних джерел із використанням сучасних інформаційно-комунікаційних</w:t>
      </w:r>
      <w:r w:rsidRPr="00F46AFB">
        <w:rPr>
          <w:rStyle w:val="scxw1667639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технологій.</w:t>
      </w:r>
      <w:r w:rsidRPr="00F46AFB">
        <w:rPr>
          <w:rStyle w:val="scxw1667639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ПР2. Вміти організовувати та проводити психологічне дослідження із</w:t>
      </w:r>
      <w:r w:rsidRPr="00F46AFB">
        <w:rPr>
          <w:rStyle w:val="scxw1667639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</w:t>
      </w:r>
      <w:proofErr w:type="spellEnd"/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ям </w:t>
      </w:r>
      <w:r w:rsidRPr="00F46AF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валідних</w:t>
      </w:r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 та надійних методів.</w:t>
      </w:r>
      <w:r w:rsidRPr="00F46AFB">
        <w:rPr>
          <w:rStyle w:val="scxw1667639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46AFB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ПР3. Узагальнювати емпіричні дані та формулювати теоретичні висновки.</w:t>
      </w:r>
      <w:r w:rsidRPr="00F46AFB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A5188" w:rsidRPr="00F46AFB" w:rsidRDefault="00DA5188" w:rsidP="00DA518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6AFB">
        <w:rPr>
          <w:rStyle w:val="normaltextrun"/>
          <w:sz w:val="28"/>
          <w:szCs w:val="28"/>
          <w:lang w:val="uk-UA"/>
        </w:rPr>
        <w:t>ПР9. Вирішувати етичні дилеми з опорою на норми закону, етичні принципи та загальнолюдські цінності.</w:t>
      </w:r>
      <w:r w:rsidRPr="00F46AFB">
        <w:rPr>
          <w:rStyle w:val="eop"/>
          <w:sz w:val="28"/>
          <w:szCs w:val="28"/>
        </w:rPr>
        <w:t> </w:t>
      </w:r>
    </w:p>
    <w:p w:rsidR="00DA5188" w:rsidRPr="00F46AFB" w:rsidRDefault="00DA5188" w:rsidP="00DA518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6AFB">
        <w:rPr>
          <w:rStyle w:val="normaltextrun"/>
          <w:sz w:val="28"/>
          <w:szCs w:val="28"/>
          <w:lang w:val="uk-UA"/>
        </w:rPr>
        <w:t>ПР10. Здійснювати аналітичний пошук відповідної до сформульованої проблеми наукової інформації та оцінювати її за критеріями адекватності.</w:t>
      </w:r>
      <w:r w:rsidRPr="00F46AFB">
        <w:rPr>
          <w:rStyle w:val="scxw260043666"/>
          <w:sz w:val="28"/>
          <w:szCs w:val="28"/>
        </w:rPr>
        <w:t> </w:t>
      </w:r>
      <w:r w:rsidRPr="00F46AFB">
        <w:rPr>
          <w:sz w:val="28"/>
          <w:szCs w:val="28"/>
        </w:rPr>
        <w:br/>
      </w:r>
      <w:r w:rsidRPr="00F46AFB">
        <w:rPr>
          <w:rStyle w:val="normaltextrun"/>
          <w:sz w:val="28"/>
          <w:szCs w:val="28"/>
          <w:lang w:val="uk-UA"/>
        </w:rPr>
        <w:t>ПР11. Здійснювати адаптацію та модифікацію існуючих наукових підходів і</w:t>
      </w:r>
      <w:r w:rsidRPr="00F46AFB">
        <w:rPr>
          <w:rStyle w:val="scxw260043666"/>
          <w:sz w:val="28"/>
          <w:szCs w:val="28"/>
        </w:rPr>
        <w:t> </w:t>
      </w:r>
      <w:r w:rsidRPr="00F46AFB">
        <w:rPr>
          <w:sz w:val="28"/>
          <w:szCs w:val="28"/>
        </w:rPr>
        <w:br/>
      </w:r>
      <w:r w:rsidRPr="00F46AFB">
        <w:rPr>
          <w:rStyle w:val="normaltextrun"/>
          <w:sz w:val="28"/>
          <w:szCs w:val="28"/>
          <w:lang w:val="uk-UA"/>
        </w:rPr>
        <w:t>методів до конкретних ситуацій професійної діяльності.</w:t>
      </w:r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</w:p>
    <w:p w:rsidR="00DA5188" w:rsidRPr="00DA5188" w:rsidRDefault="00DA5188" w:rsidP="00DA5188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DA5188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Тема 1. Вступ в </w:t>
      </w:r>
      <w:proofErr w:type="spellStart"/>
      <w:r w:rsidRPr="00DA5188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психометрику</w:t>
      </w:r>
      <w:proofErr w:type="spellEnd"/>
    </w:p>
    <w:p w:rsidR="00DA5188" w:rsidRPr="00DA5188" w:rsidRDefault="00DA5188" w:rsidP="00DA5188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DA5188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2. Вимоги до якісного тесту</w:t>
      </w:r>
    </w:p>
    <w:p w:rsidR="00DA5188" w:rsidRPr="00DA5188" w:rsidRDefault="00DA5188" w:rsidP="00DA5188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DA5188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3. Процедура створення освітнього тесту</w:t>
      </w:r>
    </w:p>
    <w:p w:rsidR="00DA5188" w:rsidRPr="00DA5188" w:rsidRDefault="00DA5188" w:rsidP="00DA5188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DA5188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4. Психометрична перевірка якості освітнього тесту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</w:rPr>
      </w:pP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076659">
        <w:rPr>
          <w:rFonts w:ascii="Times New Roman" w:hAnsi="Times New Roman" w:cs="Times New Roman"/>
          <w:sz w:val="26"/>
          <w:szCs w:val="26"/>
          <w:lang w:val="uk-UA"/>
        </w:rPr>
        <w:t xml:space="preserve">Основи </w:t>
      </w:r>
      <w:proofErr w:type="spellStart"/>
      <w:r w:rsidR="00076659">
        <w:rPr>
          <w:rFonts w:ascii="Times New Roman" w:hAnsi="Times New Roman" w:cs="Times New Roman"/>
          <w:sz w:val="26"/>
          <w:szCs w:val="26"/>
          <w:lang w:val="uk-UA"/>
        </w:rPr>
        <w:t>коучінгу</w:t>
      </w:r>
      <w:proofErr w:type="spellEnd"/>
      <w:r w:rsidRPr="004B5827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076659">
        <w:rPr>
          <w:rFonts w:ascii="Times New Roman" w:hAnsi="Times New Roman" w:cs="Times New Roman"/>
          <w:sz w:val="26"/>
          <w:szCs w:val="26"/>
          <w:lang w:val="uk-UA"/>
        </w:rPr>
        <w:t xml:space="preserve">Основи </w:t>
      </w:r>
      <w:proofErr w:type="spellStart"/>
      <w:r w:rsidR="00DA5188">
        <w:rPr>
          <w:rFonts w:ascii="Times New Roman" w:hAnsi="Times New Roman" w:cs="Times New Roman"/>
          <w:sz w:val="26"/>
          <w:szCs w:val="26"/>
          <w:lang w:val="uk-UA"/>
        </w:rPr>
        <w:t>психометрики</w:t>
      </w:r>
      <w:proofErr w:type="spellEnd"/>
      <w:r w:rsidRPr="004B5827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4B5827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4B5827">
        <w:rPr>
          <w:rFonts w:ascii="Times New Roman" w:hAnsi="Times New Roman" w:cs="Times New Roman"/>
          <w:sz w:val="26"/>
          <w:szCs w:val="26"/>
        </w:rPr>
        <w:t xml:space="preserve"> на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4B5827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під час самостійної роботистудента, </w:t>
      </w:r>
      <w:r w:rsidRPr="004B5827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4B5827">
        <w:rPr>
          <w:rFonts w:ascii="Times New Roman" w:hAnsi="Times New Roman" w:cs="Times New Roman"/>
          <w:sz w:val="26"/>
          <w:szCs w:val="26"/>
        </w:rPr>
        <w:t>;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4B5827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4B5827">
        <w:rPr>
          <w:rFonts w:ascii="Times New Roman" w:hAnsi="Times New Roman" w:cs="Times New Roman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4B5827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форміекзаменувідповідно до навчального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4B5827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="00DA518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4B5827">
        <w:rPr>
          <w:b w:val="0"/>
          <w:bCs w:val="0"/>
        </w:rPr>
        <w:lastRenderedPageBreak/>
        <w:t>Студент</w:t>
      </w:r>
      <w:r w:rsidRPr="004B5827">
        <w:rPr>
          <w:b w:val="0"/>
          <w:bCs w:val="0"/>
          <w:lang w:val="uk-UA"/>
        </w:rPr>
        <w:t xml:space="preserve"> вважається допущеним</w:t>
      </w:r>
      <w:r w:rsidRPr="004B5827">
        <w:rPr>
          <w:b w:val="0"/>
          <w:bCs w:val="0"/>
        </w:rPr>
        <w:t xml:space="preserve"> до семестрового</w:t>
      </w:r>
      <w:r w:rsidRPr="004B5827">
        <w:rPr>
          <w:b w:val="0"/>
          <w:bCs w:val="0"/>
          <w:lang w:val="uk-UA"/>
        </w:rPr>
        <w:t xml:space="preserve"> екзамену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навчальної дисципліни</w:t>
      </w:r>
      <w:r w:rsidRPr="004B5827">
        <w:rPr>
          <w:b w:val="0"/>
          <w:bCs w:val="0"/>
        </w:rPr>
        <w:t xml:space="preserve"> за</w:t>
      </w:r>
      <w:r w:rsidRPr="004B5827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4B5827">
        <w:rPr>
          <w:b w:val="0"/>
          <w:bCs w:val="0"/>
        </w:rPr>
        <w:t>занять,</w:t>
      </w:r>
      <w:r w:rsidRPr="004B5827">
        <w:rPr>
          <w:b w:val="0"/>
          <w:bCs w:val="0"/>
          <w:lang w:val="uk-UA"/>
        </w:rPr>
        <w:t xml:space="preserve"> передбачених навчальною програмою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дисципліни</w:t>
      </w:r>
    </w:p>
    <w:p w:rsidR="00A9620B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4B5827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4B5827">
        <w:rPr>
          <w:lang w:val="uk-UA" w:eastAsia="uk-UA"/>
        </w:rPr>
        <w:t>Розподіл балів, які отримують студенти</w:t>
      </w:r>
    </w:p>
    <w:p w:rsidR="00FB0B89" w:rsidRPr="004B5827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4B5827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4B5827">
        <w:rPr>
          <w:rStyle w:val="2"/>
          <w:b w:val="0"/>
          <w:bCs w:val="0"/>
          <w:u w:val="none"/>
          <w:lang w:val="uk-UA" w:eastAsia="uk-UA"/>
        </w:rPr>
        <w:t>1</w:t>
      </w:r>
      <w:r w:rsidRPr="004B5827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A9620B" w:rsidRPr="004B5827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4B582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4B5827" w:rsidTr="00FC4760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4B5827" w:rsidTr="00FC4760">
        <w:trPr>
          <w:trHeight w:val="1170"/>
        </w:trPr>
        <w:tc>
          <w:tcPr>
            <w:tcW w:w="2592" w:type="dxa"/>
            <w:shd w:val="clear" w:color="auto" w:fill="auto"/>
          </w:tcPr>
          <w:p w:rsidR="00A9620B" w:rsidRPr="004B5827" w:rsidRDefault="00DA5188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A518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Тема 1. Вступ в </w:t>
            </w:r>
            <w:proofErr w:type="spellStart"/>
            <w:r w:rsidRPr="00DA518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психометрику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9620B" w:rsidRPr="004B5827" w:rsidTr="00FC4760">
        <w:trPr>
          <w:trHeight w:val="590"/>
        </w:trPr>
        <w:tc>
          <w:tcPr>
            <w:tcW w:w="2592" w:type="dxa"/>
            <w:shd w:val="clear" w:color="auto" w:fill="auto"/>
          </w:tcPr>
          <w:p w:rsidR="00A9620B" w:rsidRPr="004B5827" w:rsidRDefault="00DA5188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A518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2. Вимоги до якісного тесту</w:t>
            </w:r>
            <w:r w:rsidR="00076659" w:rsidRPr="00076659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0766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  <w:tr w:rsidR="00A9620B" w:rsidRPr="004B5827" w:rsidTr="00FC4760">
        <w:trPr>
          <w:trHeight w:val="880"/>
        </w:trPr>
        <w:tc>
          <w:tcPr>
            <w:tcW w:w="2592" w:type="dxa"/>
            <w:shd w:val="clear" w:color="auto" w:fill="auto"/>
          </w:tcPr>
          <w:p w:rsidR="00A9620B" w:rsidRPr="004B5827" w:rsidRDefault="00DA5188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A518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3. Процедура створення освітнього тесту</w:t>
            </w:r>
            <w:r w:rsidR="00076659" w:rsidRPr="004B58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A9620B" w:rsidRPr="004B5827" w:rsidTr="00FC4760">
        <w:trPr>
          <w:trHeight w:val="1460"/>
        </w:trPr>
        <w:tc>
          <w:tcPr>
            <w:tcW w:w="2592" w:type="dxa"/>
            <w:shd w:val="clear" w:color="auto" w:fill="auto"/>
          </w:tcPr>
          <w:p w:rsidR="00A9620B" w:rsidRPr="004B5827" w:rsidRDefault="00DA5188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A5188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4. Психометрична перевірка якості освітнього тесту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0766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9620B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93056" w:rsidRPr="004B5827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lastRenderedPageBreak/>
        <w:t>Основними концептуальними положеннями системи оцінювання знань та вмінь студентів є: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4B5827">
        <w:rPr>
          <w:rFonts w:ascii="Times New Roman" w:hAnsi="Times New Roman" w:cs="Times New Roman"/>
          <w:sz w:val="26"/>
          <w:szCs w:val="26"/>
        </w:rPr>
        <w:t>S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4B5827">
        <w:rPr>
          <w:rFonts w:ascii="Times New Roman" w:hAnsi="Times New Roman" w:cs="Times New Roman"/>
          <w:sz w:val="26"/>
          <w:szCs w:val="26"/>
        </w:rPr>
        <w:t>D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2607"/>
      </w:tblGrid>
      <w:tr w:rsidR="004952EA" w:rsidRPr="004B5827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501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4B5827" w:rsidTr="00C313B1">
        <w:trPr>
          <w:trHeight w:val="489"/>
        </w:trPr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4B5827" w:rsidTr="00C313B1">
        <w:trPr>
          <w:trHeight w:val="321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4B5827" w:rsidTr="00C313B1">
        <w:trPr>
          <w:trHeight w:val="373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</w:p>
        </w:tc>
      </w:tr>
      <w:tr w:rsidR="004952EA" w:rsidRPr="004B5827" w:rsidTr="00C313B1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обов’язкового матеріалу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певні неточності;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4B5827" w:rsidTr="00C313B1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викладений матеріал 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4B5827" w:rsidTr="00C15664">
        <w:trPr>
          <w:trHeight w:val="2807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4B5827" w:rsidTr="00C15664">
        <w:trPr>
          <w:trHeight w:val="300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4B5827" w:rsidTr="00C15664">
        <w:trPr>
          <w:trHeight w:val="2793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4B5827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F1773A" w:rsidP="00DA5188">
      <w:pPr>
        <w:ind w:left="106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B58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="00DA5188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proofErr w:type="spellStart"/>
      <w:r w:rsidRPr="004B58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Мельничук, О. Б. </w:t>
      </w:r>
      <w:proofErr w:type="spellStart"/>
      <w:r>
        <w:rPr>
          <w:color w:val="000000"/>
          <w:sz w:val="26"/>
          <w:szCs w:val="26"/>
        </w:rPr>
        <w:t>Психологічна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діагностика</w:t>
      </w:r>
      <w:proofErr w:type="spellEnd"/>
      <w:r>
        <w:rPr>
          <w:color w:val="000000"/>
          <w:sz w:val="26"/>
          <w:szCs w:val="26"/>
        </w:rPr>
        <w:t xml:space="preserve"> [Текст] : </w:t>
      </w:r>
      <w:proofErr w:type="spellStart"/>
      <w:r>
        <w:rPr>
          <w:color w:val="000000"/>
          <w:sz w:val="26"/>
          <w:szCs w:val="26"/>
        </w:rPr>
        <w:t>навч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пос</w:t>
      </w:r>
      <w:proofErr w:type="gramEnd"/>
      <w:r>
        <w:rPr>
          <w:color w:val="000000"/>
          <w:sz w:val="26"/>
          <w:szCs w:val="26"/>
        </w:rPr>
        <w:t>іб</w:t>
      </w:r>
      <w:proofErr w:type="spellEnd"/>
      <w:r>
        <w:rPr>
          <w:color w:val="000000"/>
          <w:sz w:val="26"/>
          <w:szCs w:val="26"/>
        </w:rPr>
        <w:t xml:space="preserve">. для студ. </w:t>
      </w:r>
      <w:proofErr w:type="spellStart"/>
      <w:r>
        <w:rPr>
          <w:color w:val="000000"/>
          <w:sz w:val="26"/>
          <w:szCs w:val="26"/>
        </w:rPr>
        <w:t>подвійних</w:t>
      </w:r>
      <w:proofErr w:type="spellEnd"/>
      <w:r>
        <w:rPr>
          <w:color w:val="000000"/>
          <w:sz w:val="26"/>
          <w:szCs w:val="26"/>
        </w:rPr>
        <w:t xml:space="preserve"> спец.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спец. "Практична </w:t>
      </w:r>
      <w:proofErr w:type="spellStart"/>
      <w:r>
        <w:rPr>
          <w:color w:val="000000"/>
          <w:sz w:val="26"/>
          <w:szCs w:val="26"/>
        </w:rPr>
        <w:t>психологія</w:t>
      </w:r>
      <w:proofErr w:type="spellEnd"/>
      <w:r>
        <w:rPr>
          <w:color w:val="000000"/>
          <w:sz w:val="26"/>
          <w:szCs w:val="26"/>
        </w:rPr>
        <w:t>" / О. Б. Мельничук. - К.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Каравела</w:t>
      </w:r>
      <w:proofErr w:type="spellEnd"/>
      <w:r>
        <w:rPr>
          <w:color w:val="000000"/>
          <w:sz w:val="26"/>
          <w:szCs w:val="26"/>
        </w:rPr>
        <w:t>, 2013. - 316 с.</w:t>
      </w:r>
    </w:p>
    <w:p w:rsid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lastRenderedPageBreak/>
        <w:t>Психодіагностика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Психологічний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практикум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пос</w:t>
      </w:r>
      <w:proofErr w:type="gramEnd"/>
      <w:r>
        <w:rPr>
          <w:color w:val="000000"/>
          <w:sz w:val="26"/>
          <w:szCs w:val="26"/>
          <w:shd w:val="clear" w:color="auto" w:fill="FFFFFF"/>
        </w:rPr>
        <w:t>іб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/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Баклицька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О. П.,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Баклицький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І. О.,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Сірко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Р. І.,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Слободяник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В. І. 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Львів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Сполом</w:t>
      </w:r>
      <w:proofErr w:type="spellEnd"/>
      <w:r>
        <w:rPr>
          <w:color w:val="000000"/>
          <w:sz w:val="26"/>
          <w:szCs w:val="26"/>
          <w:shd w:val="clear" w:color="auto" w:fill="FFFFFF"/>
        </w:rPr>
        <w:t>, 2015. – 464 с. </w:t>
      </w:r>
    </w:p>
    <w:p w:rsid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Ті</w:t>
      </w:r>
      <w:proofErr w:type="gramStart"/>
      <w:r>
        <w:rPr>
          <w:color w:val="000000"/>
          <w:sz w:val="26"/>
          <w:szCs w:val="26"/>
          <w:shd w:val="clear" w:color="auto" w:fill="FFFFFF"/>
        </w:rPr>
        <w:t>тов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Е.Г.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Елементи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практичної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психометрики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посіб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/ І.Г.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Тітов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– К.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Видавничий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дім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«КОНДОР», 2018. – 128 с.</w:t>
      </w:r>
    </w:p>
    <w:p w:rsid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Чала Ю.М.,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Шахрайчук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А.М.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Психодіагностика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навчальний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пос</w:t>
      </w:r>
      <w:proofErr w:type="gramEnd"/>
      <w:r>
        <w:rPr>
          <w:color w:val="000000"/>
          <w:sz w:val="26"/>
          <w:szCs w:val="26"/>
          <w:shd w:val="clear" w:color="auto" w:fill="FFFFFF"/>
        </w:rPr>
        <w:t>ібник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/ Ю.М. Чала, А.М.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Шахрайчук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—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Харків</w:t>
      </w:r>
      <w:proofErr w:type="spellEnd"/>
      <w:r>
        <w:rPr>
          <w:color w:val="000000"/>
          <w:sz w:val="26"/>
          <w:szCs w:val="26"/>
          <w:shd w:val="clear" w:color="auto" w:fill="FFFFFF"/>
        </w:rPr>
        <w:t>: НТУ «ХПІ», 2018. — 246 с.</w:t>
      </w:r>
    </w:p>
    <w:p w:rsidR="00DA5188" w:rsidRPr="00C313B1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Raykov, T., &amp; Marcoulides, G. A. (2011).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Introduction to psychometric theory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>. Routledge.</w:t>
      </w:r>
    </w:p>
    <w:p w:rsidR="00DA5188" w:rsidRP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Kline, P. (2015).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A handbook of test construction (psychology revivals): introduction to psychometric design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Routledge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DA5188" w:rsidRP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Irwing, P., Booth, T., &amp; Hughes, D. J. (Eds.). (2018).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The Wiley handbook of psychometric testing: A multidisciplinary reference on survey, scale and test development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John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Wiley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 xml:space="preserve"> &amp; </w:t>
      </w: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Sons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>.</w:t>
      </w:r>
    </w:p>
    <w:p w:rsidR="00DA5188" w:rsidRP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Галян</w:t>
      </w:r>
      <w:proofErr w:type="spellEnd"/>
      <w:proofErr w:type="gramStart"/>
      <w:r w:rsidRPr="00DA5188">
        <w:rPr>
          <w:color w:val="000000"/>
          <w:sz w:val="26"/>
          <w:szCs w:val="26"/>
          <w:shd w:val="clear" w:color="auto" w:fill="FFFFFF"/>
        </w:rPr>
        <w:t xml:space="preserve"> І.</w:t>
      </w:r>
      <w:proofErr w:type="gramEnd"/>
      <w:r w:rsidRPr="00DA5188">
        <w:rPr>
          <w:color w:val="000000"/>
          <w:sz w:val="26"/>
          <w:szCs w:val="26"/>
          <w:shd w:val="clear" w:color="auto" w:fill="FFFFFF"/>
        </w:rPr>
        <w:t xml:space="preserve">М. </w:t>
      </w: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Психодіагностика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Навч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DA5188">
        <w:rPr>
          <w:color w:val="000000"/>
          <w:sz w:val="26"/>
          <w:szCs w:val="26"/>
          <w:shd w:val="clear" w:color="auto" w:fill="FFFFFF"/>
        </w:rPr>
        <w:t>пос</w:t>
      </w:r>
      <w:proofErr w:type="gramEnd"/>
      <w:r w:rsidRPr="00DA5188">
        <w:rPr>
          <w:color w:val="000000"/>
          <w:sz w:val="26"/>
          <w:szCs w:val="26"/>
          <w:shd w:val="clear" w:color="auto" w:fill="FFFFFF"/>
        </w:rPr>
        <w:t>іб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>. — 2-ге вид., стереотип. — К.</w:t>
      </w:r>
      <w:proofErr w:type="gramStart"/>
      <w:r w:rsidRPr="00DA5188"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DA518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5188">
        <w:rPr>
          <w:color w:val="000000"/>
          <w:sz w:val="26"/>
          <w:szCs w:val="26"/>
          <w:shd w:val="clear" w:color="auto" w:fill="FFFFFF"/>
        </w:rPr>
        <w:t>Академвидав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>, 2011. — 464 с. </w:t>
      </w:r>
    </w:p>
    <w:p w:rsidR="00DA5188" w:rsidRPr="00C313B1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Lange, J., Dalege, J., Borsboom, D., van Kleef, G. A., &amp; Fischer, A. H. (2020). Toward an integrative psychometric model of emotions.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Perspectives on Psychological Science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15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>(2), 444-468.</w:t>
      </w:r>
      <w:r w:rsidRPr="00C313B1">
        <w:rPr>
          <w:color w:val="000000"/>
          <w:sz w:val="26"/>
          <w:szCs w:val="26"/>
          <w:lang w:val="en-US"/>
        </w:rPr>
        <w:t> </w:t>
      </w:r>
    </w:p>
    <w:p w:rsidR="00DA5188" w:rsidRPr="00C313B1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Souza, A. C. D., Alexandre, N. M. C., &amp; Guirardello, E. D. B. (2017). Psychometric properties in instruments evaluation of reliability and validity.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Epidemiologia e Serviços de Saúde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C313B1">
        <w:rPr>
          <w:i/>
          <w:iCs/>
          <w:color w:val="000000"/>
          <w:sz w:val="26"/>
          <w:szCs w:val="26"/>
          <w:shd w:val="clear" w:color="auto" w:fill="FFFFFF"/>
          <w:lang w:val="en-US"/>
        </w:rPr>
        <w:t>26</w:t>
      </w:r>
      <w:r w:rsidRPr="00C313B1">
        <w:rPr>
          <w:color w:val="000000"/>
          <w:sz w:val="26"/>
          <w:szCs w:val="26"/>
          <w:shd w:val="clear" w:color="auto" w:fill="FFFFFF"/>
          <w:lang w:val="en-US"/>
        </w:rPr>
        <w:t>, 649-659.</w:t>
      </w:r>
    </w:p>
    <w:p w:rsidR="00DA5188" w:rsidRP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Simms, L. J., Zelazny, K., Williams, T. F., &amp; Bernstein, L. (2019). Does the number of response options matter? Psychometric perspectives using personality questionnaire data. </w:t>
      </w:r>
      <w:proofErr w:type="spellStart"/>
      <w:r w:rsidRPr="00DA5188">
        <w:rPr>
          <w:i/>
          <w:iCs/>
          <w:color w:val="000000"/>
          <w:sz w:val="26"/>
          <w:szCs w:val="26"/>
          <w:shd w:val="clear" w:color="auto" w:fill="FFFFFF"/>
        </w:rPr>
        <w:t>Psychological</w:t>
      </w:r>
      <w:proofErr w:type="spellEnd"/>
      <w:r w:rsidRPr="00DA5188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5188">
        <w:rPr>
          <w:i/>
          <w:iCs/>
          <w:color w:val="000000"/>
          <w:sz w:val="26"/>
          <w:szCs w:val="26"/>
          <w:shd w:val="clear" w:color="auto" w:fill="FFFFFF"/>
        </w:rPr>
        <w:t>assessment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 xml:space="preserve">, </w:t>
      </w:r>
      <w:r w:rsidRPr="00DA5188">
        <w:rPr>
          <w:i/>
          <w:iCs/>
          <w:color w:val="000000"/>
          <w:sz w:val="26"/>
          <w:szCs w:val="26"/>
          <w:shd w:val="clear" w:color="auto" w:fill="FFFFFF"/>
        </w:rPr>
        <w:t>31</w:t>
      </w:r>
      <w:r w:rsidRPr="00DA5188">
        <w:rPr>
          <w:color w:val="000000"/>
          <w:sz w:val="26"/>
          <w:szCs w:val="26"/>
          <w:shd w:val="clear" w:color="auto" w:fill="FFFFFF"/>
        </w:rPr>
        <w:t>(4), 557</w:t>
      </w:r>
    </w:p>
    <w:p w:rsidR="00DA5188" w:rsidRPr="00DA5188" w:rsidRDefault="00DA5188" w:rsidP="00DA518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C313B1">
        <w:rPr>
          <w:color w:val="000000"/>
          <w:sz w:val="26"/>
          <w:szCs w:val="26"/>
          <w:shd w:val="clear" w:color="auto" w:fill="FFFFFF"/>
          <w:lang w:val="en-US"/>
        </w:rPr>
        <w:t xml:space="preserve">Epskamp, S. (2020). Psychometric network models from time-series and panel data. </w:t>
      </w:r>
      <w:proofErr w:type="spellStart"/>
      <w:r w:rsidRPr="00DA5188">
        <w:rPr>
          <w:i/>
          <w:iCs/>
          <w:color w:val="000000"/>
          <w:sz w:val="26"/>
          <w:szCs w:val="26"/>
          <w:shd w:val="clear" w:color="auto" w:fill="FFFFFF"/>
        </w:rPr>
        <w:t>Psychometrika</w:t>
      </w:r>
      <w:proofErr w:type="spellEnd"/>
      <w:r w:rsidRPr="00DA5188">
        <w:rPr>
          <w:color w:val="000000"/>
          <w:sz w:val="26"/>
          <w:szCs w:val="26"/>
          <w:shd w:val="clear" w:color="auto" w:fill="FFFFFF"/>
        </w:rPr>
        <w:t xml:space="preserve">, </w:t>
      </w:r>
      <w:r w:rsidRPr="00DA5188">
        <w:rPr>
          <w:i/>
          <w:iCs/>
          <w:color w:val="000000"/>
          <w:sz w:val="26"/>
          <w:szCs w:val="26"/>
          <w:shd w:val="clear" w:color="auto" w:fill="FFFFFF"/>
        </w:rPr>
        <w:t>85</w:t>
      </w:r>
      <w:r w:rsidRPr="00DA5188">
        <w:rPr>
          <w:color w:val="000000"/>
          <w:sz w:val="26"/>
          <w:szCs w:val="26"/>
          <w:shd w:val="clear" w:color="auto" w:fill="FFFFFF"/>
        </w:rPr>
        <w:t>(1), 206.</w:t>
      </w:r>
    </w:p>
    <w:p w:rsidR="004952EA" w:rsidRPr="004B5827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4B5827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4B58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4B5827">
        <w:rPr>
          <w:rStyle w:val="2"/>
          <w:b w:val="0"/>
          <w:bCs w:val="0"/>
          <w:u w:val="none"/>
          <w:lang w:val="uk-UA" w:eastAsia="uk-UA"/>
        </w:rPr>
        <w:t>4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4B5827">
        <w:rPr>
          <w:rStyle w:val="2"/>
          <w:b w:val="0"/>
          <w:bCs w:val="0"/>
          <w:u w:val="none"/>
          <w:lang w:val="uk-UA" w:eastAsia="uk-UA"/>
        </w:rPr>
        <w:t>П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076659" w:rsidRDefault="00076659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70"/>
        <w:gridCol w:w="4755"/>
      </w:tblGrid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4B5827" w:rsidRDefault="00076659" w:rsidP="00D761B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4B5827" w:rsidRDefault="00076659" w:rsidP="00D761B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A5188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Психологія безпеки в професійній діяльності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Проєктивні</w:t>
            </w:r>
            <w:proofErr w:type="spellEnd"/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методи в психології</w:t>
            </w:r>
          </w:p>
        </w:tc>
      </w:tr>
      <w:tr w:rsidR="00DA5188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Основи наукових психологічних досліджень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Арт-терапія</w:t>
            </w:r>
          </w:p>
        </w:tc>
      </w:tr>
      <w:tr w:rsidR="00DA5188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Психологія управління</w:t>
            </w:r>
          </w:p>
        </w:tc>
      </w:tr>
      <w:tr w:rsidR="00DA5188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5188" w:rsidRPr="00DA5188" w:rsidRDefault="00DA5188" w:rsidP="00617B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518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Психологія впливу</w:t>
            </w:r>
          </w:p>
        </w:tc>
      </w:tr>
    </w:tbl>
    <w:p w:rsidR="00076659" w:rsidRPr="004B5827" w:rsidRDefault="00076659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756924" w:rsidRPr="004B58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4B5827">
        <w:rPr>
          <w:b/>
          <w:lang w:eastAsia="uk-UA"/>
        </w:rPr>
        <w:t>Провідний</w:t>
      </w:r>
      <w:proofErr w:type="spellEnd"/>
      <w:r w:rsidRPr="004B5827">
        <w:rPr>
          <w:b/>
          <w:lang w:eastAsia="uk-UA"/>
        </w:rPr>
        <w:t xml:space="preserve"> лектор: </w:t>
      </w:r>
      <w:r w:rsidR="004B5827" w:rsidRPr="004B5827">
        <w:rPr>
          <w:bCs/>
          <w:lang w:val="uk-UA" w:eastAsia="uk-UA"/>
        </w:rPr>
        <w:t>Доц. Анастасія Книш</w:t>
      </w:r>
      <w:r w:rsidR="00756924" w:rsidRPr="004B5827">
        <w:rPr>
          <w:b/>
          <w:lang w:val="uk-UA" w:eastAsia="uk-UA"/>
        </w:rPr>
        <w:t>__</w:t>
      </w:r>
      <w:r w:rsidR="00756924" w:rsidRPr="004B5827">
        <w:rPr>
          <w:b/>
          <w:lang w:val="uk-UA" w:eastAsia="uk-UA"/>
        </w:rPr>
        <w:tab/>
      </w:r>
      <w:r w:rsidR="00756924" w:rsidRPr="004B5827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4B5827">
        <w:rPr>
          <w:lang w:val="uk-UA" w:eastAsia="uk-UA"/>
        </w:rPr>
        <w:t>(посада, звання, ПІБ)</w:t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34513B"/>
    <w:multiLevelType w:val="multilevel"/>
    <w:tmpl w:val="058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93586"/>
    <w:multiLevelType w:val="multilevel"/>
    <w:tmpl w:val="058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055B40"/>
    <w:rsid w:val="00076659"/>
    <w:rsid w:val="000A3B23"/>
    <w:rsid w:val="00105956"/>
    <w:rsid w:val="00122496"/>
    <w:rsid w:val="00124CE4"/>
    <w:rsid w:val="00187998"/>
    <w:rsid w:val="001923CD"/>
    <w:rsid w:val="00193056"/>
    <w:rsid w:val="001935E5"/>
    <w:rsid w:val="001E4512"/>
    <w:rsid w:val="00204D1E"/>
    <w:rsid w:val="0024688A"/>
    <w:rsid w:val="002D1175"/>
    <w:rsid w:val="002D6CDE"/>
    <w:rsid w:val="002F3893"/>
    <w:rsid w:val="002F5439"/>
    <w:rsid w:val="003134E6"/>
    <w:rsid w:val="00314B5F"/>
    <w:rsid w:val="00385235"/>
    <w:rsid w:val="003C1E37"/>
    <w:rsid w:val="0042323A"/>
    <w:rsid w:val="004661DE"/>
    <w:rsid w:val="00481B0A"/>
    <w:rsid w:val="004853C7"/>
    <w:rsid w:val="004952EA"/>
    <w:rsid w:val="004B5827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548BD"/>
    <w:rsid w:val="00B6338D"/>
    <w:rsid w:val="00C02477"/>
    <w:rsid w:val="00C313B1"/>
    <w:rsid w:val="00C3515F"/>
    <w:rsid w:val="00C50540"/>
    <w:rsid w:val="00C64BE9"/>
    <w:rsid w:val="00C82462"/>
    <w:rsid w:val="00DA5188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rsid w:val="00FC47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5188"/>
  </w:style>
  <w:style w:type="character" w:customStyle="1" w:styleId="eop">
    <w:name w:val="eop"/>
    <w:basedOn w:val="a0"/>
    <w:rsid w:val="00DA5188"/>
  </w:style>
  <w:style w:type="character" w:customStyle="1" w:styleId="spellingerror">
    <w:name w:val="spellingerror"/>
    <w:basedOn w:val="a0"/>
    <w:rsid w:val="00DA5188"/>
  </w:style>
  <w:style w:type="character" w:customStyle="1" w:styleId="scxw166763908">
    <w:name w:val="scxw166763908"/>
    <w:basedOn w:val="a0"/>
    <w:rsid w:val="00DA5188"/>
  </w:style>
  <w:style w:type="paragraph" w:customStyle="1" w:styleId="paragraph">
    <w:name w:val="paragraph"/>
    <w:basedOn w:val="a"/>
    <w:rsid w:val="00DA51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260043666">
    <w:name w:val="scxw260043666"/>
    <w:basedOn w:val="a0"/>
    <w:rsid w:val="00DA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62AD-66A4-45AD-B786-5EF297E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4</cp:revision>
  <cp:lastPrinted>2022-02-18T10:40:00Z</cp:lastPrinted>
  <dcterms:created xsi:type="dcterms:W3CDTF">2022-01-24T20:33:00Z</dcterms:created>
  <dcterms:modified xsi:type="dcterms:W3CDTF">2022-02-18T10:41:00Z</dcterms:modified>
</cp:coreProperties>
</file>