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A8" w:rsidRDefault="00C015A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C015A8" w:rsidRDefault="00C015A8" w:rsidP="002E3358">
      <w:pPr>
        <w:pStyle w:val="a3"/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C015A8" w:rsidRPr="002E3358">
        <w:trPr>
          <w:trHeight w:val="323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C015A8" w:rsidRPr="004B5F32" w:rsidRDefault="00C015A8" w:rsidP="004B5F32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Характеристика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Повна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5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C015A8" w:rsidRPr="00F67F6F" w:rsidRDefault="00C015A8" w:rsidP="00574175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«</w:t>
            </w:r>
            <w:r w:rsidR="00574175">
              <w:rPr>
                <w:sz w:val="24"/>
                <w:szCs w:val="24"/>
                <w:lang w:eastAsia="ru-RU"/>
              </w:rPr>
              <w:t>Лідерство в управлінні соціальними системами</w:t>
            </w:r>
            <w:r w:rsidRPr="00F67F6F">
              <w:rPr>
                <w:sz w:val="24"/>
                <w:szCs w:val="24"/>
              </w:rPr>
              <w:t>»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Викладацький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C015A8" w:rsidRPr="00F67F6F" w:rsidRDefault="00C015A8" w:rsidP="00574175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 xml:space="preserve">доц. </w:t>
            </w:r>
            <w:r w:rsidR="00574175">
              <w:rPr>
                <w:sz w:val="24"/>
                <w:szCs w:val="24"/>
              </w:rPr>
              <w:t>Шаполова В.В</w:t>
            </w:r>
            <w:r w:rsidRPr="00F67F6F">
              <w:rPr>
                <w:sz w:val="24"/>
                <w:szCs w:val="24"/>
              </w:rPr>
              <w:t>.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C015A8" w:rsidRPr="00F67F6F" w:rsidRDefault="00C015A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color w:val="000000"/>
                <w:sz w:val="24"/>
                <w:szCs w:val="24"/>
              </w:rPr>
              <w:t>232 Соціальне забезпечення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Освітня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C015A8" w:rsidRPr="00F67F6F" w:rsidRDefault="00C015A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color w:val="000000"/>
                <w:sz w:val="24"/>
                <w:szCs w:val="24"/>
              </w:rPr>
              <w:t>Управління в сфері соціального забезпечення</w:t>
            </w:r>
          </w:p>
        </w:tc>
      </w:tr>
      <w:tr w:rsidR="00C015A8" w:rsidRPr="002E3358">
        <w:trPr>
          <w:trHeight w:val="277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Кількість</w:t>
            </w:r>
            <w:r w:rsidRPr="004B5F32">
              <w:rPr>
                <w:spacing w:val="-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C015A8" w:rsidRPr="004B5F32" w:rsidRDefault="00574175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Кредити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C015A8" w:rsidRPr="004B5F32" w:rsidRDefault="00574175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15A8" w:rsidRPr="002E3358">
        <w:trPr>
          <w:trHeight w:val="1944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574175" w:rsidRPr="00574175" w:rsidRDefault="00574175" w:rsidP="00574175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  <w:lang w:eastAsia="ru-RU"/>
              </w:rPr>
            </w:pPr>
            <w:r w:rsidRPr="00574175">
              <w:rPr>
                <w:sz w:val="24"/>
                <w:szCs w:val="24"/>
                <w:lang w:eastAsia="ru-RU"/>
              </w:rPr>
              <w:t>В рамках курсу здобувачі зможуть оволодіти  системними знаннями щодо ролі та особливостей лідерства в управлінні соціальними системами, розкрити роль лідера у команді та особливостей взаємодії всіх членів команди, соціально-психологічних складових процесу створення, розвитку та підтримки ефективної команди в соціальних системах, оволодіти знаннями щодо вирішення конфліктів в діловому просторі.</w:t>
            </w:r>
          </w:p>
          <w:p w:rsidR="00C015A8" w:rsidRPr="00F67F6F" w:rsidRDefault="00574175" w:rsidP="00574175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574175">
              <w:rPr>
                <w:sz w:val="24"/>
                <w:szCs w:val="24"/>
                <w:lang w:eastAsia="ru-RU"/>
              </w:rPr>
              <w:t xml:space="preserve">Студенти зможуть дослідити власний лідерський потенціал, ознайомитися з інструментами його розвитку. Робиться акцент на аналізі вербальної та невербальної комунікації, розвитку практичних комунікативних вмінь та навичок, розвитку навичок </w:t>
            </w:r>
            <w:proofErr w:type="spellStart"/>
            <w:r w:rsidRPr="00574175">
              <w:rPr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Pr="00574175">
              <w:rPr>
                <w:sz w:val="24"/>
                <w:szCs w:val="24"/>
                <w:lang w:eastAsia="ru-RU"/>
              </w:rPr>
              <w:t>, саморегуляції внутрішнього стану особистості та ораторських здібностей, які будуть ефективними в різних ситуаціях управління соціальними системами.</w:t>
            </w:r>
          </w:p>
          <w:p w:rsidR="00C015A8" w:rsidRPr="00F67F6F" w:rsidRDefault="00C015A8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015A8" w:rsidRPr="00F67F6F" w:rsidRDefault="00574175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574175">
              <w:rPr>
                <w:sz w:val="24"/>
                <w:szCs w:val="24"/>
              </w:rPr>
              <w:t>Мета викладання навчальної дисципліни полягає у наданні систематизованих знань щодо лідерства в управлінні соціальними системами та ефективної взаємодії у професійному середовищі.</w:t>
            </w:r>
          </w:p>
          <w:p w:rsidR="00C015A8" w:rsidRPr="00F67F6F" w:rsidRDefault="00C015A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574175" w:rsidRPr="00574175" w:rsidRDefault="00C015A8" w:rsidP="00574175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Результати</w:t>
            </w:r>
            <w:r w:rsidRPr="00F67F6F">
              <w:rPr>
                <w:spacing w:val="-4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навчання</w:t>
            </w:r>
            <w:r w:rsidRPr="00F67F6F">
              <w:rPr>
                <w:spacing w:val="-5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полягають</w:t>
            </w:r>
            <w:r w:rsidRPr="00F67F6F">
              <w:rPr>
                <w:spacing w:val="-2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у</w:t>
            </w:r>
            <w:r w:rsidRPr="00F67F6F">
              <w:rPr>
                <w:spacing w:val="-12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наступному:</w:t>
            </w:r>
            <w:r w:rsidRPr="00F67F6F">
              <w:rPr>
                <w:spacing w:val="-57"/>
                <w:sz w:val="24"/>
                <w:szCs w:val="24"/>
              </w:rPr>
              <w:t xml:space="preserve">  </w:t>
            </w:r>
            <w:r w:rsidR="00574175" w:rsidRPr="00574175">
              <w:rPr>
                <w:bCs/>
                <w:sz w:val="24"/>
                <w:szCs w:val="24"/>
              </w:rPr>
              <w:t>Володіння методами комунікації у застосуванні різних форм взаємодії та спільної діяльності.</w:t>
            </w:r>
            <w:r w:rsidR="00574175">
              <w:rPr>
                <w:bCs/>
                <w:sz w:val="24"/>
                <w:szCs w:val="24"/>
              </w:rPr>
              <w:t xml:space="preserve"> </w:t>
            </w:r>
            <w:r w:rsidR="00574175" w:rsidRPr="00574175">
              <w:rPr>
                <w:bCs/>
                <w:sz w:val="24"/>
                <w:szCs w:val="24"/>
              </w:rPr>
              <w:t>Демонструвати ініціативу, самостійність, оригінальність, генерувати нові ідеї для розв’язання завдань професійної діяльності. Демонструвати позитивне ставлення до власної професії та відповідати своєю поведінкою етичним принципам і стандартам соціальної роботи.</w:t>
            </w:r>
          </w:p>
          <w:p w:rsidR="00C015A8" w:rsidRPr="00F67F6F" w:rsidRDefault="00C015A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015A8" w:rsidRPr="00C514AD" w:rsidRDefault="00C015A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015A8" w:rsidRDefault="00C015A8" w:rsidP="00FD1486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C514AD">
              <w:rPr>
                <w:sz w:val="24"/>
                <w:szCs w:val="24"/>
              </w:rPr>
              <w:t xml:space="preserve">Методи навчання: словесні (бесіда, дискусія, лекція, робота з </w:t>
            </w:r>
            <w:r w:rsidRPr="00F67F6F">
              <w:rPr>
                <w:sz w:val="24"/>
                <w:szCs w:val="24"/>
              </w:rPr>
              <w:t>літературно-інформаційними джерелами</w:t>
            </w:r>
            <w:r w:rsidRPr="00C514AD">
              <w:rPr>
                <w:sz w:val="24"/>
                <w:szCs w:val="24"/>
              </w:rPr>
              <w:t xml:space="preserve">); наочні (ілюстрація практичними прикладами); практичні (практичні вправи). Активні методи навчання, які застосовуються: </w:t>
            </w:r>
            <w:r w:rsidRPr="00F67F6F">
              <w:rPr>
                <w:sz w:val="24"/>
                <w:szCs w:val="24"/>
              </w:rPr>
              <w:t>дискусія, дослідницький метод, метод проблемного навчання, «мозковий штурм»</w:t>
            </w:r>
            <w:r w:rsidR="00574175">
              <w:rPr>
                <w:sz w:val="24"/>
                <w:szCs w:val="24"/>
              </w:rPr>
              <w:t>, кейси, рольові ігри тощо</w:t>
            </w:r>
            <w:r>
              <w:rPr>
                <w:sz w:val="24"/>
                <w:szCs w:val="24"/>
              </w:rPr>
              <w:t xml:space="preserve"> </w:t>
            </w:r>
          </w:p>
          <w:p w:rsidR="00C015A8" w:rsidRPr="004B5F32" w:rsidRDefault="00C015A8" w:rsidP="00F67F6F">
            <w:pPr>
              <w:ind w:left="203" w:right="187" w:firstLine="425"/>
              <w:jc w:val="both"/>
              <w:rPr>
                <w:sz w:val="24"/>
                <w:szCs w:val="24"/>
              </w:rPr>
            </w:pP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Тип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Підсумковий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C015A8" w:rsidRPr="004B5F32" w:rsidRDefault="00574175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  <w:bookmarkStart w:id="0" w:name="_GoBack"/>
            <w:bookmarkEnd w:id="0"/>
            <w:r w:rsidR="00C015A8">
              <w:rPr>
                <w:sz w:val="24"/>
                <w:szCs w:val="24"/>
              </w:rPr>
              <w:t xml:space="preserve"> у 2-му</w:t>
            </w:r>
            <w:r w:rsidR="00C015A8" w:rsidRPr="004B5F32">
              <w:rPr>
                <w:spacing w:val="2"/>
                <w:sz w:val="24"/>
                <w:szCs w:val="24"/>
              </w:rPr>
              <w:t xml:space="preserve"> </w:t>
            </w:r>
            <w:r w:rsidR="00C015A8" w:rsidRPr="004B5F32">
              <w:rPr>
                <w:sz w:val="24"/>
                <w:szCs w:val="24"/>
              </w:rPr>
              <w:t>семестрі</w:t>
            </w:r>
          </w:p>
        </w:tc>
      </w:tr>
    </w:tbl>
    <w:p w:rsidR="00C015A8" w:rsidRDefault="00C015A8"/>
    <w:sectPr w:rsidR="00C015A8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58"/>
    <w:rsid w:val="000241F9"/>
    <w:rsid w:val="000556B1"/>
    <w:rsid w:val="0009339E"/>
    <w:rsid w:val="000A0634"/>
    <w:rsid w:val="00141A57"/>
    <w:rsid w:val="001B12AD"/>
    <w:rsid w:val="00284F11"/>
    <w:rsid w:val="00286991"/>
    <w:rsid w:val="00291600"/>
    <w:rsid w:val="002E3358"/>
    <w:rsid w:val="00306A97"/>
    <w:rsid w:val="003211F3"/>
    <w:rsid w:val="00331052"/>
    <w:rsid w:val="003944EE"/>
    <w:rsid w:val="003E56D4"/>
    <w:rsid w:val="004A0DBF"/>
    <w:rsid w:val="004B5F32"/>
    <w:rsid w:val="00562EB3"/>
    <w:rsid w:val="005667B9"/>
    <w:rsid w:val="00574175"/>
    <w:rsid w:val="00585E53"/>
    <w:rsid w:val="006B28EE"/>
    <w:rsid w:val="00751807"/>
    <w:rsid w:val="007B40B1"/>
    <w:rsid w:val="0088097A"/>
    <w:rsid w:val="00A01209"/>
    <w:rsid w:val="00A91DBD"/>
    <w:rsid w:val="00AE1572"/>
    <w:rsid w:val="00B55075"/>
    <w:rsid w:val="00C015A8"/>
    <w:rsid w:val="00C514AD"/>
    <w:rsid w:val="00CB1B26"/>
    <w:rsid w:val="00D44081"/>
    <w:rsid w:val="00DE2BFD"/>
    <w:rsid w:val="00E14283"/>
    <w:rsid w:val="00EC5613"/>
    <w:rsid w:val="00F1697A"/>
    <w:rsid w:val="00F17AD8"/>
    <w:rsid w:val="00F67F6F"/>
    <w:rsid w:val="00F82795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60427"/>
  <w14:defaultImageDpi w14:val="0"/>
  <w15:docId w15:val="{5BD184A4-0BBB-4B4E-9FE4-C630A3E1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2E3358"/>
    <w:pPr>
      <w:widowControl w:val="0"/>
      <w:autoSpaceDE w:val="0"/>
      <w:autoSpaceDN w:val="0"/>
      <w:spacing w:after="0" w:line="240" w:lineRule="auto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3358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11">
    <w:name w:val="Заголовок 11"/>
    <w:basedOn w:val="a"/>
    <w:uiPriority w:val="99"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2E3358"/>
  </w:style>
  <w:style w:type="character" w:styleId="a5">
    <w:name w:val="Hyperlink"/>
    <w:basedOn w:val="a0"/>
    <w:uiPriority w:val="99"/>
    <w:rsid w:val="002E3358"/>
    <w:rPr>
      <w:color w:val="0000FF"/>
      <w:u w:val="single"/>
    </w:rPr>
  </w:style>
  <w:style w:type="paragraph" w:customStyle="1" w:styleId="a6">
    <w:name w:val="Знак"/>
    <w:basedOn w:val="a"/>
    <w:uiPriority w:val="99"/>
    <w:rsid w:val="00FD1486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customStyle="1" w:styleId="7">
    <w:name w:val="Знак Знак7 Знак Знак"/>
    <w:basedOn w:val="a"/>
    <w:uiPriority w:val="99"/>
    <w:rsid w:val="00F67F6F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Валеріївна Шаполова</dc:creator>
  <cp:keywords/>
  <dc:description/>
  <cp:lastModifiedBy>Вікторія Валеріївна Шаполова</cp:lastModifiedBy>
  <cp:revision>3</cp:revision>
  <dcterms:created xsi:type="dcterms:W3CDTF">2023-02-02T09:51:00Z</dcterms:created>
  <dcterms:modified xsi:type="dcterms:W3CDTF">2023-02-02T13:26:00Z</dcterms:modified>
</cp:coreProperties>
</file>