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tbl>
      <w:tblPr>
        <w:tblW w:w="0" w:type="auto"/>
        <w:tblLook w:val="00A0"/>
      </w:tblPr>
      <w:tblGrid>
        <w:gridCol w:w="1980"/>
        <w:gridCol w:w="6095"/>
        <w:gridCol w:w="1836"/>
      </w:tblGrid>
      <w:tr xmlns:wp14="http://schemas.microsoft.com/office/word/2010/wordml" w:rsidRPr="00F55CBF" w:rsidR="00CD1FBA" w:rsidTr="00DC3F5B" w14:paraId="5B22E1A8" wp14:textId="77777777">
        <w:trPr>
          <w:trHeight w:val="985"/>
        </w:trPr>
        <w:tc>
          <w:tcPr>
            <w:tcW w:w="1980" w:type="dxa"/>
            <w:vMerge w:val="restart"/>
          </w:tcPr>
          <w:p w:rsidRPr="00F55CBF" w:rsidR="00CD1FBA" w:rsidP="00DC3F5B" w:rsidRDefault="00711E43" w14:paraId="672A6659" wp14:textId="77777777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xmlns:wp14="http://schemas.microsoft.com/office/word/2010/wordprocessingDrawing" distT="0" distB="0" distL="0" distR="0" wp14:anchorId="6CE3D362" wp14:editId="7777777">
                  <wp:extent cx="914400" cy="9144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Pr="00F55CBF" w:rsidR="00CD1FBA" w:rsidP="00DC3F5B" w:rsidRDefault="00CD1FBA" w14:paraId="10D3E337" wp14:textId="77777777">
            <w:pPr>
              <w:pStyle w:val="Normalcenteredbold"/>
            </w:pPr>
            <w:r w:rsidRPr="00F55CBF">
              <w:t>Силабус освітнього компонента</w:t>
            </w:r>
          </w:p>
          <w:p w:rsidRPr="00F55CBF" w:rsidR="00CD1FBA" w:rsidP="00DC3F5B" w:rsidRDefault="00CD1FBA" w14:paraId="45E7EF46" wp14:textId="77777777">
            <w:pPr>
              <w:pStyle w:val="Normalcentered"/>
            </w:pPr>
            <w:r w:rsidRPr="00F55CBF">
              <w:t>Програма навчальної дисципліни</w:t>
            </w:r>
          </w:p>
        </w:tc>
        <w:tc>
          <w:tcPr>
            <w:tcW w:w="1836" w:type="dxa"/>
            <w:vMerge w:val="restart"/>
          </w:tcPr>
          <w:p w:rsidRPr="00F55CBF" w:rsidR="00CD1FBA" w:rsidP="00DC3F5B" w:rsidRDefault="00711E43" w14:paraId="0A37501D" wp14:textId="77777777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xmlns:wp14="http://schemas.microsoft.com/office/word/2010/wordprocessingDrawing" distT="0" distB="0" distL="0" distR="0" wp14:anchorId="4231F1FC" wp14:editId="7777777">
                  <wp:extent cx="965200" cy="965200"/>
                  <wp:effectExtent l="19050" t="0" r="635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F55CBF" w:rsidR="00CD1FBA" w:rsidTr="00DC3F5B" w14:paraId="702C3560" wp14:textId="77777777">
        <w:trPr>
          <w:trHeight w:val="693"/>
        </w:trPr>
        <w:tc>
          <w:tcPr>
            <w:tcW w:w="1980" w:type="dxa"/>
            <w:vMerge/>
          </w:tcPr>
          <w:p w:rsidRPr="00F55CBF" w:rsidR="00CD1FBA" w:rsidP="00DC3F5B" w:rsidRDefault="00CD1FBA" w14:paraId="5DAB6C7B" wp14:textId="77777777"/>
        </w:tc>
        <w:tc>
          <w:tcPr>
            <w:tcW w:w="6095" w:type="dxa"/>
            <w:vAlign w:val="center"/>
          </w:tcPr>
          <w:p w:rsidRPr="00436362" w:rsidR="00CD1FBA" w:rsidP="00DC3F5B" w:rsidRDefault="00436362" w14:paraId="23A8F32C" wp14:textId="77777777">
            <w:pPr>
              <w:pStyle w:val="1"/>
            </w:pPr>
            <w:r>
              <w:rPr>
                <w:lang w:val="ru-RU"/>
              </w:rPr>
              <w:t>Практики</w:t>
            </w:r>
            <w:r w:rsidRPr="00B11DAE">
              <w:t xml:space="preserve"> підтримання</w:t>
            </w:r>
            <w:r>
              <w:rPr>
                <w:lang w:val="ru-RU"/>
              </w:rPr>
              <w:t xml:space="preserve"> ментального здоров</w:t>
            </w:r>
            <w:r>
              <w:rPr>
                <w:lang w:val="en-US"/>
              </w:rPr>
              <w:t>’</w:t>
            </w:r>
            <w:r>
              <w:t>я</w:t>
            </w:r>
          </w:p>
        </w:tc>
        <w:tc>
          <w:tcPr>
            <w:tcW w:w="1836" w:type="dxa"/>
            <w:vMerge/>
          </w:tcPr>
          <w:p w:rsidRPr="00F55CBF" w:rsidR="00CD1FBA" w:rsidP="00DC3F5B" w:rsidRDefault="00CD1FBA" w14:paraId="02EB378F" wp14:textId="77777777"/>
        </w:tc>
      </w:tr>
    </w:tbl>
    <w:p xmlns:wp14="http://schemas.microsoft.com/office/word/2010/wordml" w:rsidR="00CD1FBA" w:rsidP="00CD1FBA" w:rsidRDefault="00CD1FBA" w14:paraId="6A05A809" wp14:textId="77777777"/>
    <w:tbl>
      <w:tblPr>
        <w:tblW w:w="5000" w:type="pct"/>
        <w:tblCellMar>
          <w:top w:w="28" w:type="dxa"/>
          <w:left w:w="0" w:type="dxa"/>
          <w:bottom w:w="170" w:type="dxa"/>
          <w:right w:w="170" w:type="dxa"/>
        </w:tblCellMar>
        <w:tblLook w:val="00A0"/>
      </w:tblPr>
      <w:tblGrid>
        <w:gridCol w:w="5043"/>
        <w:gridCol w:w="5048"/>
      </w:tblGrid>
      <w:tr xmlns:wp14="http://schemas.microsoft.com/office/word/2010/wordml" w:rsidRPr="00F55CBF" w:rsidR="00CD1FBA" w:rsidTr="00DC3F5B" w14:paraId="3CDA35D1" wp14:textId="77777777">
        <w:tc>
          <w:tcPr>
            <w:tcW w:w="2499" w:type="pct"/>
          </w:tcPr>
          <w:p w:rsidRPr="00F55CBF" w:rsidR="00CD1FBA" w:rsidP="00DC3F5B" w:rsidRDefault="00CD1FBA" w14:paraId="2271AFA9" wp14:textId="77777777">
            <w:pPr>
              <w:pStyle w:val="4"/>
            </w:pPr>
            <w:r w:rsidRPr="00F55CBF">
              <w:t>Шифр та назва спеціальності</w:t>
            </w:r>
          </w:p>
          <w:p w:rsidRPr="00F55CBF" w:rsidR="00CD1FBA" w:rsidP="00994759" w:rsidRDefault="00994759" w14:paraId="603CE509" wp14:textId="77777777">
            <w:r>
              <w:t>053</w:t>
            </w:r>
            <w:r w:rsidRPr="00DD16E6" w:rsidR="00CD1FBA">
              <w:t xml:space="preserve"> – </w:t>
            </w:r>
            <w:r>
              <w:t>Психологія</w:t>
            </w:r>
          </w:p>
        </w:tc>
        <w:tc>
          <w:tcPr>
            <w:tcW w:w="2501" w:type="pct"/>
          </w:tcPr>
          <w:p w:rsidRPr="00F55CBF" w:rsidR="00CD1FBA" w:rsidP="00DC3F5B" w:rsidRDefault="00CD1FBA" w14:paraId="20CBC25E" wp14:textId="77777777">
            <w:pPr>
              <w:pStyle w:val="4"/>
            </w:pPr>
            <w:r w:rsidRPr="00F55CBF">
              <w:t>Інститут</w:t>
            </w:r>
          </w:p>
          <w:p w:rsidRPr="00F55CBF" w:rsidR="00CD1FBA" w:rsidP="00994759" w:rsidRDefault="00CD1FBA" w14:paraId="4B15FE6B" wp14:textId="77777777">
            <w:r w:rsidRPr="00F55CBF">
              <w:t>ННІ</w:t>
            </w:r>
            <w:r w:rsidR="00A227BA">
              <w:t xml:space="preserve"> </w:t>
            </w:r>
            <w:r w:rsidR="00994759">
              <w:t>Соціально-гуманітарних технологій</w:t>
            </w:r>
          </w:p>
        </w:tc>
      </w:tr>
      <w:tr xmlns:wp14="http://schemas.microsoft.com/office/word/2010/wordml" w:rsidRPr="00F55CBF" w:rsidR="00CD1FBA" w:rsidTr="00DC3F5B" w14:paraId="18A73A1A" wp14:textId="77777777">
        <w:tc>
          <w:tcPr>
            <w:tcW w:w="2499" w:type="pct"/>
          </w:tcPr>
          <w:p w:rsidRPr="00F55CBF" w:rsidR="00CD1FBA" w:rsidP="00DC3F5B" w:rsidRDefault="00CD1FBA" w14:paraId="339056FF" wp14:textId="77777777">
            <w:pPr>
              <w:pStyle w:val="4"/>
            </w:pPr>
            <w:r w:rsidRPr="00F55CBF">
              <w:t>Освітня програма</w:t>
            </w:r>
          </w:p>
          <w:p w:rsidRPr="00F55CBF" w:rsidR="00CD1FBA" w:rsidP="00DC3F5B" w:rsidRDefault="00994759" w14:paraId="4D06B2E3" wp14:textId="77777777">
            <w:r>
              <w:t>Психологія</w:t>
            </w:r>
          </w:p>
        </w:tc>
        <w:tc>
          <w:tcPr>
            <w:tcW w:w="2501" w:type="pct"/>
          </w:tcPr>
          <w:p w:rsidRPr="00F55CBF" w:rsidR="00CD1FBA" w:rsidP="00DC3F5B" w:rsidRDefault="00CD1FBA" w14:paraId="69B3D99D" wp14:textId="77777777">
            <w:pPr>
              <w:pStyle w:val="4"/>
            </w:pPr>
            <w:r w:rsidRPr="00F55CBF">
              <w:t>Кафедра</w:t>
            </w:r>
          </w:p>
          <w:p w:rsidRPr="00F55CBF" w:rsidR="00CD1FBA" w:rsidP="00994759" w:rsidRDefault="00994759" w14:paraId="6CC2E25A" wp14:textId="77777777">
            <w:r>
              <w:t>Педагогіки та психології управління соціальними системами імені акад. І.А. Зязюна</w:t>
            </w:r>
            <w:r w:rsidRPr="00DD16E6" w:rsidR="00CD1FBA">
              <w:t xml:space="preserve"> (3</w:t>
            </w:r>
            <w:r>
              <w:t>01</w:t>
            </w:r>
            <w:r w:rsidRPr="00DD16E6" w:rsidR="00CD1FBA">
              <w:t>)</w:t>
            </w:r>
          </w:p>
        </w:tc>
      </w:tr>
      <w:tr xmlns:wp14="http://schemas.microsoft.com/office/word/2010/wordml" w:rsidRPr="00F55CBF" w:rsidR="00CD1FBA" w:rsidTr="00DC3F5B" w14:paraId="72AD5F2F" wp14:textId="77777777">
        <w:tc>
          <w:tcPr>
            <w:tcW w:w="2499" w:type="pct"/>
          </w:tcPr>
          <w:p w:rsidRPr="00F55CBF" w:rsidR="00CD1FBA" w:rsidP="00DC3F5B" w:rsidRDefault="00CD1FBA" w14:paraId="66990347" wp14:textId="77777777">
            <w:pPr>
              <w:pStyle w:val="4"/>
            </w:pPr>
            <w:r w:rsidRPr="00F55CBF">
              <w:t>Рівень освіти</w:t>
            </w:r>
          </w:p>
          <w:p w:rsidRPr="00F55CBF" w:rsidR="00CD1FBA" w:rsidP="00DC3F5B" w:rsidRDefault="001C10BB" w14:paraId="6FB89F45" wp14:textId="77777777">
            <w:r>
              <w:t>Магістр</w:t>
            </w:r>
          </w:p>
          <w:p w:rsidRPr="00F55CBF" w:rsidR="00CD1FBA" w:rsidP="00DC3F5B" w:rsidRDefault="00CD1FBA" w14:paraId="5A39BBE3" wp14:textId="77777777"/>
        </w:tc>
        <w:tc>
          <w:tcPr>
            <w:tcW w:w="2501" w:type="pct"/>
          </w:tcPr>
          <w:p w:rsidRPr="00F55CBF" w:rsidR="00CD1FBA" w:rsidP="00DC3F5B" w:rsidRDefault="00CD1FBA" w14:paraId="257417B9" wp14:textId="77777777">
            <w:pPr>
              <w:pStyle w:val="4"/>
            </w:pPr>
            <w:r w:rsidRPr="00F55CBF">
              <w:t>Тип дисципліни</w:t>
            </w:r>
          </w:p>
          <w:p w:rsidRPr="00F55CBF" w:rsidR="00CD1FBA" w:rsidP="009A2833" w:rsidRDefault="00CD1FBA" w14:paraId="209F03E3" wp14:textId="77777777">
            <w:r w:rsidRPr="005232A7">
              <w:t>Спеціальна (фахова)</w:t>
            </w:r>
          </w:p>
        </w:tc>
      </w:tr>
      <w:tr xmlns:wp14="http://schemas.microsoft.com/office/word/2010/wordml" w:rsidRPr="00F55CBF" w:rsidR="00CD1FBA" w:rsidTr="00DC3F5B" w14:paraId="5F40BC19" wp14:textId="77777777">
        <w:tc>
          <w:tcPr>
            <w:tcW w:w="2499" w:type="pct"/>
            <w:tcBorders>
              <w:bottom w:val="single" w:color="A0001B" w:sz="12" w:space="0"/>
            </w:tcBorders>
          </w:tcPr>
          <w:p w:rsidRPr="00F55CBF" w:rsidR="00CD1FBA" w:rsidP="00DC3F5B" w:rsidRDefault="00CD1FBA" w14:paraId="1CE6CEA5" wp14:textId="77777777">
            <w:pPr>
              <w:pStyle w:val="4"/>
            </w:pPr>
            <w:r w:rsidRPr="00F55CBF">
              <w:t>Семестр</w:t>
            </w:r>
          </w:p>
          <w:p w:rsidRPr="00F55CBF" w:rsidR="00CD1FBA" w:rsidP="00DC3F5B" w:rsidRDefault="009A2833" w14:paraId="18F999B5" wp14:textId="77777777">
            <w:r>
              <w:t>2</w:t>
            </w:r>
          </w:p>
        </w:tc>
        <w:tc>
          <w:tcPr>
            <w:tcW w:w="2501" w:type="pct"/>
            <w:tcBorders>
              <w:bottom w:val="single" w:color="A0001B" w:sz="12" w:space="0"/>
            </w:tcBorders>
          </w:tcPr>
          <w:p w:rsidRPr="00F55CBF" w:rsidR="00CD1FBA" w:rsidP="00DC3F5B" w:rsidRDefault="00CD1FBA" w14:paraId="55576BE8" wp14:textId="77777777">
            <w:pPr>
              <w:pStyle w:val="4"/>
            </w:pPr>
            <w:r w:rsidRPr="00F55CBF">
              <w:t>Мова викладання</w:t>
            </w:r>
          </w:p>
          <w:p w:rsidRPr="00F55CBF" w:rsidR="00CD1FBA" w:rsidP="00994759" w:rsidRDefault="00CD1FBA" w14:paraId="340CED64" wp14:textId="77777777">
            <w:r w:rsidRPr="00F55CBF">
              <w:t>Українська</w:t>
            </w:r>
          </w:p>
        </w:tc>
      </w:tr>
    </w:tbl>
    <w:p xmlns:wp14="http://schemas.microsoft.com/office/word/2010/wordml" w:rsidR="00CD1FBA" w:rsidP="00CD1FBA" w:rsidRDefault="00CD1FBA" w14:paraId="41C8F396" wp14:textId="77777777"/>
    <w:p xmlns:wp14="http://schemas.microsoft.com/office/word/2010/wordml" w:rsidRPr="00DB5076" w:rsidR="00CD1FBA" w:rsidP="00CD1FBA" w:rsidRDefault="00CD1FBA" w14:paraId="34351461" wp14:textId="77777777">
      <w:pPr>
        <w:pStyle w:val="2"/>
      </w:pPr>
      <w:r w:rsidRPr="00DB5076">
        <w:t>Викладачі, розробники</w:t>
      </w:r>
    </w:p>
    <w:tbl>
      <w:tblPr>
        <w:tblW w:w="0" w:type="auto"/>
        <w:tblLook w:val="00A0"/>
      </w:tblPr>
      <w:tblGrid>
        <w:gridCol w:w="2092"/>
        <w:gridCol w:w="7829"/>
      </w:tblGrid>
      <w:tr xmlns:wp14="http://schemas.microsoft.com/office/word/2010/wordml" w:rsidRPr="00F55CBF" w:rsidR="00CD1FBA" w:rsidTr="00DC3F5B" w14:paraId="492F4639" wp14:textId="77777777">
        <w:tc>
          <w:tcPr>
            <w:tcW w:w="2092" w:type="dxa"/>
            <w:tcMar>
              <w:left w:w="0" w:type="dxa"/>
              <w:bottom w:w="227" w:type="dxa"/>
            </w:tcMar>
          </w:tcPr>
          <w:p w:rsidRPr="00F55CBF" w:rsidR="00CD1FBA" w:rsidP="00DC3F5B" w:rsidRDefault="00711E43" w14:paraId="72A3D3EC" wp14:textId="77777777">
            <w:pPr>
              <w:jc w:val="center"/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xmlns:wp14="http://schemas.microsoft.com/office/word/2010/wordprocessingDrawing" distT="0" distB="0" distL="0" distR="0" wp14:anchorId="75F59C34" wp14:editId="7777777">
                  <wp:extent cx="1060450" cy="2057400"/>
                  <wp:effectExtent l="19050" t="0" r="6350" b="0"/>
                  <wp:docPr id="27" name="Рисунок 27" descr="C:\Users\Asya\Desktop\Рабочий стол\Фото\Knysh-foto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sya\Desktop\Рабочий стол\Фото\Knysh-foto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Pr="00B85F7B" w:rsidR="00CD1FBA" w:rsidP="004466E3" w:rsidRDefault="00B85F7B" w14:paraId="63DFB570" wp14:textId="77777777">
            <w:pPr>
              <w:rPr>
                <w:bCs/>
                <w:lang w:val="en-US"/>
              </w:rPr>
            </w:pPr>
            <w:r>
              <w:rPr>
                <w:bCs/>
              </w:rPr>
              <w:t>Книш Анастасія Євгенівна</w:t>
            </w:r>
          </w:p>
          <w:p w:rsidRPr="00E74512" w:rsidR="00CD1FBA" w:rsidP="004466E3" w:rsidRDefault="00B85F7B" w14:paraId="5BDCDC47" wp14:textId="77777777">
            <w:pPr>
              <w:rPr>
                <w:bCs/>
              </w:rPr>
            </w:pPr>
            <w:r w:rsidRPr="00B85F7B">
              <w:rPr>
                <w:bCs/>
              </w:rPr>
              <w:t>Anastasiia.Knysh@khpi.edu.ua</w:t>
            </w:r>
          </w:p>
          <w:p w:rsidRPr="00E74512" w:rsidR="004466E3" w:rsidP="004466E3" w:rsidRDefault="00B85F7B" w14:paraId="725132F6" wp14:textId="77777777">
            <w:pPr>
              <w:rPr>
                <w:bCs/>
              </w:rPr>
            </w:pPr>
            <w:r>
              <w:rPr>
                <w:bCs/>
              </w:rPr>
              <w:t xml:space="preserve">Кандидат психологічних </w:t>
            </w:r>
            <w:r w:rsidRPr="004466E3" w:rsidR="004466E3">
              <w:rPr>
                <w:bCs/>
              </w:rPr>
              <w:t xml:space="preserve">наук, </w:t>
            </w:r>
            <w:r>
              <w:rPr>
                <w:bCs/>
              </w:rPr>
              <w:t>доцент</w:t>
            </w:r>
            <w:r w:rsidRPr="004466E3" w:rsidR="004466E3">
              <w:rPr>
                <w:bCs/>
              </w:rPr>
              <w:t xml:space="preserve">, </w:t>
            </w:r>
            <w:r>
              <w:rPr>
                <w:bCs/>
              </w:rPr>
              <w:t>доцент</w:t>
            </w:r>
            <w:r w:rsidRPr="004466E3" w:rsidR="004466E3">
              <w:rPr>
                <w:bCs/>
              </w:rPr>
              <w:t xml:space="preserve"> кафедри </w:t>
            </w:r>
            <w:r>
              <w:rPr>
                <w:bCs/>
              </w:rPr>
              <w:t>педагогіки і психології управління соціальними системами</w:t>
            </w:r>
            <w:r w:rsidRPr="00E74512" w:rsidR="004466E3">
              <w:rPr>
                <w:bCs/>
              </w:rPr>
              <w:t xml:space="preserve"> НТУ «ХПІ».</w:t>
            </w:r>
          </w:p>
          <w:p w:rsidR="004466E3" w:rsidP="004466E3" w:rsidRDefault="004466E3" w14:paraId="6EA0CB0C" wp14:textId="77777777">
            <w:pPr>
              <w:rPr>
                <w:bCs/>
              </w:rPr>
            </w:pPr>
            <w:r w:rsidRPr="004466E3">
              <w:rPr>
                <w:bCs/>
              </w:rPr>
              <w:t xml:space="preserve">Досвід роботи – </w:t>
            </w:r>
            <w:r w:rsidR="00B85F7B">
              <w:rPr>
                <w:bCs/>
              </w:rPr>
              <w:t>13</w:t>
            </w:r>
            <w:r w:rsidRPr="004466E3">
              <w:rPr>
                <w:bCs/>
              </w:rPr>
              <w:t xml:space="preserve"> років. Автор понад </w:t>
            </w:r>
            <w:r w:rsidR="00B85F7B">
              <w:rPr>
                <w:bCs/>
              </w:rPr>
              <w:t>80</w:t>
            </w:r>
            <w:r w:rsidRPr="004466E3">
              <w:rPr>
                <w:bCs/>
              </w:rPr>
              <w:t xml:space="preserve"> наукових та навчально-методичних праць. Провідний лектор з дисциплін: «</w:t>
            </w:r>
            <w:r w:rsidR="00B85F7B">
              <w:rPr>
                <w:bCs/>
              </w:rPr>
              <w:t>Психологічні основи коучінгу</w:t>
            </w:r>
            <w:r w:rsidRPr="004466E3">
              <w:rPr>
                <w:bCs/>
              </w:rPr>
              <w:t>», «</w:t>
            </w:r>
            <w:r w:rsidR="00B85F7B">
              <w:rPr>
                <w:bCs/>
              </w:rPr>
              <w:t>Основи психометрики</w:t>
            </w:r>
            <w:r w:rsidRPr="004466E3">
              <w:rPr>
                <w:bCs/>
              </w:rPr>
              <w:t>», «</w:t>
            </w:r>
            <w:r w:rsidR="00B85F7B">
              <w:rPr>
                <w:bCs/>
              </w:rPr>
              <w:t>Практики підтримання ментального здоров</w:t>
            </w:r>
            <w:r w:rsidR="00B85F7B">
              <w:rPr>
                <w:bCs/>
                <w:lang w:val="en-US"/>
              </w:rPr>
              <w:t>’</w:t>
            </w:r>
            <w:r w:rsidR="00B85F7B">
              <w:rPr>
                <w:bCs/>
              </w:rPr>
              <w:t>я</w:t>
            </w:r>
            <w:r w:rsidRPr="004466E3">
              <w:rPr>
                <w:bCs/>
              </w:rPr>
              <w:t>»</w:t>
            </w:r>
            <w:r w:rsidR="00B85F7B">
              <w:rPr>
                <w:bCs/>
              </w:rPr>
              <w:t>,</w:t>
            </w:r>
            <w:r w:rsidRPr="004466E3">
              <w:rPr>
                <w:bCs/>
              </w:rPr>
              <w:t xml:space="preserve"> «</w:t>
            </w:r>
            <w:r w:rsidR="00B85F7B">
              <w:rPr>
                <w:bCs/>
              </w:rPr>
              <w:t xml:space="preserve">Психотехнології в діяльності </w:t>
            </w:r>
            <w:r w:rsidR="00B85F7B">
              <w:rPr>
                <w:bCs/>
                <w:lang w:val="en-US"/>
              </w:rPr>
              <w:t xml:space="preserve">HR </w:t>
            </w:r>
            <w:r w:rsidR="00B85F7B">
              <w:rPr>
                <w:bCs/>
              </w:rPr>
              <w:t>менеджера</w:t>
            </w:r>
            <w:r w:rsidRPr="004466E3">
              <w:rPr>
                <w:bCs/>
              </w:rPr>
              <w:t>»</w:t>
            </w:r>
            <w:r>
              <w:rPr>
                <w:bCs/>
              </w:rPr>
              <w:t>.</w:t>
            </w:r>
          </w:p>
          <w:p w:rsidRPr="00E74512" w:rsidR="00CD1FBA" w:rsidP="004466E3" w:rsidRDefault="00513008" w14:paraId="251C3E86" wp14:textId="77777777">
            <w:pPr>
              <w:rPr>
                <w:bCs/>
              </w:rPr>
            </w:pPr>
            <w:hyperlink w:history="1" r:id="rId11">
              <w:r w:rsidRPr="004466E3" w:rsidR="00CD1FBA">
                <w:rPr>
                  <w:bCs/>
                </w:rPr>
                <w:t>Детальніше про викладача на сайті кафедри</w:t>
              </w:r>
            </w:hyperlink>
          </w:p>
          <w:p w:rsidRPr="00E74512" w:rsidR="001B51E8" w:rsidP="004466E3" w:rsidRDefault="0042313C" w14:paraId="35AA0557" wp14:textId="77777777">
            <w:pPr>
              <w:rPr>
                <w:bCs/>
              </w:rPr>
            </w:pPr>
            <w:r w:rsidRPr="0042313C">
              <w:rPr>
                <w:bCs/>
              </w:rPr>
              <w:t>https://web.kpi.kharkov.ua/ppuss/uk/portfolio-knish-anastasiyi-yevgeniyivni/</w:t>
            </w:r>
          </w:p>
        </w:tc>
      </w:tr>
      <w:tr xmlns:wp14="http://schemas.microsoft.com/office/word/2010/wordml" w:rsidRPr="00F55CBF" w:rsidR="00CD1FBA" w:rsidTr="00DC3F5B" w14:paraId="0D0B940D" wp14:textId="77777777">
        <w:tc>
          <w:tcPr>
            <w:tcW w:w="2092" w:type="dxa"/>
            <w:tcMar>
              <w:left w:w="0" w:type="dxa"/>
              <w:bottom w:w="227" w:type="dxa"/>
            </w:tcMar>
          </w:tcPr>
          <w:p w:rsidRPr="00F55CBF" w:rsidR="00CD1FBA" w:rsidP="00DC3F5B" w:rsidRDefault="00CD1FBA" w14:paraId="0E27B00A" wp14:textId="77777777">
            <w:pPr>
              <w:jc w:val="center"/>
              <w:rPr>
                <w:lang w:val="en-US"/>
              </w:rPr>
            </w:pP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Pr="004E3B13" w:rsidR="00CD1FBA" w:rsidP="00994759" w:rsidRDefault="00CD1FBA" w14:paraId="60061E4C" wp14:textId="77777777">
            <w:pPr>
              <w:rPr>
                <w:color w:val="A0001B"/>
                <w:u w:val="single"/>
                <w:lang w:val="ru-RU"/>
              </w:rPr>
            </w:pPr>
          </w:p>
        </w:tc>
      </w:tr>
    </w:tbl>
    <w:p xmlns:wp14="http://schemas.microsoft.com/office/word/2010/wordml" w:rsidR="00CD1FBA" w:rsidP="00CD1FBA" w:rsidRDefault="00CD1FBA" w14:paraId="577E5F33" wp14:textId="77777777">
      <w:pPr>
        <w:pStyle w:val="2"/>
      </w:pPr>
      <w:r w:rsidRPr="007B7FBA">
        <w:t>Загальна інформація</w:t>
      </w:r>
    </w:p>
    <w:p xmlns:wp14="http://schemas.microsoft.com/office/word/2010/wordml" w:rsidRPr="00527DC3" w:rsidR="00CD1FBA" w:rsidP="00CD1FBA" w:rsidRDefault="00CD1FBA" w14:paraId="52509215" wp14:textId="77777777">
      <w:pPr>
        <w:pStyle w:val="3"/>
      </w:pPr>
      <w:r w:rsidRPr="00527DC3">
        <w:t>Анотація</w:t>
      </w:r>
    </w:p>
    <w:p xmlns:wp14="http://schemas.microsoft.com/office/word/2010/wordml" w:rsidR="0025073F" w:rsidP="00CD1FBA" w:rsidRDefault="00747D1C" w14:paraId="347625CE" wp14:textId="77777777">
      <w:pPr>
        <w:rPr>
          <w:szCs w:val="28"/>
        </w:rPr>
      </w:pPr>
      <w:r w:rsidRPr="004E3B13">
        <w:rPr>
          <w:bCs/>
        </w:rPr>
        <w:t>Дисципліна «</w:t>
      </w:r>
      <w:r w:rsidR="00436362">
        <w:rPr>
          <w:bCs/>
        </w:rPr>
        <w:t>Практики підтримання ментального здоров</w:t>
      </w:r>
      <w:r w:rsidR="00436362">
        <w:rPr>
          <w:bCs/>
          <w:lang w:val="en-US"/>
        </w:rPr>
        <w:t>’</w:t>
      </w:r>
      <w:r w:rsidR="00436362">
        <w:rPr>
          <w:bCs/>
        </w:rPr>
        <w:t>я</w:t>
      </w:r>
      <w:r w:rsidRPr="004E3B13">
        <w:rPr>
          <w:bCs/>
        </w:rPr>
        <w:t>»</w:t>
      </w:r>
      <w:r w:rsidRPr="00B2225F">
        <w:t xml:space="preserve"> </w:t>
      </w:r>
      <w:r w:rsidRPr="004E3B13" w:rsidR="00213650">
        <w:rPr>
          <w:rFonts w:cs="Cambria"/>
          <w:lang w:eastAsia="ru-RU"/>
        </w:rPr>
        <w:t xml:space="preserve">розвиває знання та навички, які необхідні для </w:t>
      </w:r>
      <w:r w:rsidR="00436362">
        <w:rPr>
          <w:rFonts w:cs="Cambria"/>
          <w:lang w:eastAsia="ru-RU"/>
        </w:rPr>
        <w:t>оцінки стану ментального здоров</w:t>
      </w:r>
      <w:r w:rsidR="00436362">
        <w:rPr>
          <w:rFonts w:cs="Cambria"/>
          <w:lang w:val="en-US" w:eastAsia="ru-RU"/>
        </w:rPr>
        <w:t>’</w:t>
      </w:r>
      <w:r w:rsidR="00436362">
        <w:rPr>
          <w:rFonts w:cs="Cambria"/>
          <w:lang w:eastAsia="ru-RU"/>
        </w:rPr>
        <w:t>я, а також його підтримання шляхом застосування психотерапевтичних технік психологічної допомоги та самодопомоги</w:t>
      </w:r>
      <w:r w:rsidR="00C04B7A">
        <w:rPr>
          <w:szCs w:val="28"/>
        </w:rPr>
        <w:t>.</w:t>
      </w:r>
    </w:p>
    <w:p xmlns:wp14="http://schemas.microsoft.com/office/word/2010/wordml" w:rsidRPr="00527DC3" w:rsidR="00CD1FBA" w:rsidP="00CD1FBA" w:rsidRDefault="00CD1FBA" w14:paraId="53D94F40" wp14:textId="77777777">
      <w:pPr>
        <w:pStyle w:val="3"/>
      </w:pPr>
      <w:r w:rsidRPr="00527DC3">
        <w:t>Мета та цілі</w:t>
      </w:r>
      <w:r w:rsidRPr="004E3B13">
        <w:t xml:space="preserve"> </w:t>
      </w:r>
      <w:r>
        <w:t>дисципліни</w:t>
      </w:r>
    </w:p>
    <w:p xmlns:wp14="http://schemas.microsoft.com/office/word/2010/wordml" w:rsidR="000321E2" w:rsidP="00747D1C" w:rsidRDefault="00E932FF" w14:paraId="303572A1" wp14:textId="77777777">
      <w:pPr>
        <w:widowControl w:val="0"/>
        <w:ind w:right="-2"/>
        <w:jc w:val="both"/>
        <w:rPr>
          <w:szCs w:val="28"/>
        </w:rPr>
      </w:pPr>
      <w:r w:rsidRPr="004E3B13">
        <w:t xml:space="preserve">Метою дисципліни є: </w:t>
      </w:r>
      <w:r>
        <w:rPr>
          <w:szCs w:val="28"/>
        </w:rPr>
        <w:t>–</w:t>
      </w:r>
      <w:r w:rsidRPr="00BC42F6">
        <w:rPr>
          <w:szCs w:val="28"/>
        </w:rPr>
        <w:t xml:space="preserve"> вивчення теоретичних основ та </w:t>
      </w:r>
      <w:r w:rsidR="00C04B7A">
        <w:rPr>
          <w:szCs w:val="28"/>
        </w:rPr>
        <w:t xml:space="preserve">практичних </w:t>
      </w:r>
      <w:r w:rsidR="00436362">
        <w:rPr>
          <w:szCs w:val="28"/>
        </w:rPr>
        <w:t>основ підтримання ментального здоров</w:t>
      </w:r>
      <w:r w:rsidR="00436362">
        <w:rPr>
          <w:szCs w:val="28"/>
          <w:lang w:val="en-US"/>
        </w:rPr>
        <w:t>’</w:t>
      </w:r>
      <w:r w:rsidR="00436362">
        <w:rPr>
          <w:szCs w:val="28"/>
        </w:rPr>
        <w:t>я на рівні окремої особистості та суспільства в цілому</w:t>
      </w:r>
      <w:r w:rsidR="00C04B7A">
        <w:rPr>
          <w:szCs w:val="28"/>
        </w:rPr>
        <w:t>.</w:t>
      </w:r>
    </w:p>
    <w:p xmlns:wp14="http://schemas.microsoft.com/office/word/2010/wordml" w:rsidRPr="004E3B13" w:rsidR="00CD1FBA" w:rsidP="00CD1FBA" w:rsidRDefault="00CD1FBA" w14:paraId="325C11DA" wp14:textId="77777777">
      <w:pPr>
        <w:pStyle w:val="3"/>
        <w:rPr>
          <w:lang w:val="ru-RU"/>
        </w:rPr>
      </w:pPr>
      <w:r w:rsidRPr="00527DC3">
        <w:t>Формат занять</w:t>
      </w:r>
    </w:p>
    <w:p xmlns:wp14="http://schemas.microsoft.com/office/word/2010/wordml" w:rsidR="00CD1FBA" w:rsidP="00CD1FBA" w:rsidRDefault="00CD1FBA" w14:paraId="6C15F1A4" wp14:textId="77777777">
      <w:r w:rsidRPr="00527DC3">
        <w:t xml:space="preserve">Лекції, </w:t>
      </w:r>
      <w:r w:rsidR="00C04B7A">
        <w:t>практичні</w:t>
      </w:r>
      <w:r w:rsidRPr="00527DC3">
        <w:t xml:space="preserve"> роботи, самостійна робота, консультації. Підсумковий контроль – </w:t>
      </w:r>
      <w:r w:rsidR="00A227BA">
        <w:t>залік</w:t>
      </w:r>
      <w:r w:rsidRPr="00527DC3">
        <w:t>.</w:t>
      </w:r>
    </w:p>
    <w:p xmlns:wp14="http://schemas.microsoft.com/office/word/2010/wordml" w:rsidR="00CD1FBA" w:rsidP="00CD1FBA" w:rsidRDefault="00CD1FBA" w14:paraId="38105251" wp14:textId="77777777">
      <w:pPr>
        <w:pStyle w:val="3"/>
      </w:pPr>
      <w:r w:rsidRPr="004F5495">
        <w:t>Компетен</w:t>
      </w:r>
      <w:r>
        <w:t>тності</w:t>
      </w:r>
    </w:p>
    <w:p xmlns:wp14="http://schemas.microsoft.com/office/word/2010/wordml" w:rsidRPr="00A227BA" w:rsidR="00A227BA" w:rsidP="00A227BA" w:rsidRDefault="00A227BA" w14:paraId="61165F5B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ЗК1. Здатність застосовувати знання у практичних ситуаціях.</w:t>
      </w:r>
    </w:p>
    <w:p xmlns:wp14="http://schemas.microsoft.com/office/word/2010/wordml" w:rsidRPr="00A227BA" w:rsidR="00A227BA" w:rsidP="00A227BA" w:rsidRDefault="00A227BA" w14:paraId="70CBD706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ЗК4. Уміння виявляти, ставити та вирішувати проблеми.</w:t>
      </w:r>
    </w:p>
    <w:p xmlns:wp14="http://schemas.microsoft.com/office/word/2010/wordml" w:rsidRPr="00A227BA" w:rsidR="00A227BA" w:rsidP="00A227BA" w:rsidRDefault="00A227BA" w14:paraId="73273B24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ЗК6. Здатність діяти на основі етичних міркувань (мотивів).</w:t>
      </w:r>
    </w:p>
    <w:p xmlns:wp14="http://schemas.microsoft.com/office/word/2010/wordml" w:rsidRPr="00A227BA" w:rsidR="00A227BA" w:rsidP="00A227BA" w:rsidRDefault="00A227BA" w14:paraId="00C1B660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ЗК7. Здатність діяти соціально відповідально та свідомо.</w:t>
      </w:r>
    </w:p>
    <w:p xmlns:wp14="http://schemas.microsoft.com/office/word/2010/wordml" w:rsidRPr="00A227BA" w:rsidR="00A227BA" w:rsidP="00A227BA" w:rsidRDefault="00A227BA" w14:paraId="17D33F9F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ЗК9. Здатність мотивувати людей та рухатися до спільної</w:t>
      </w:r>
      <w:r>
        <w:rPr>
          <w:szCs w:val="28"/>
        </w:rPr>
        <w:t xml:space="preserve"> </w:t>
      </w:r>
      <w:r w:rsidRPr="00A227BA">
        <w:rPr>
          <w:szCs w:val="28"/>
        </w:rPr>
        <w:t>мети.</w:t>
      </w:r>
    </w:p>
    <w:p xmlns:wp14="http://schemas.microsoft.com/office/word/2010/wordml" w:rsidRPr="00A227BA" w:rsidR="00A227BA" w:rsidP="00A227BA" w:rsidRDefault="00A227BA" w14:paraId="3C05E65C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СК4. Здатність здійснювати практичну діяльність (тренінгову, психотерапевтичну, консультаційну, психодіагностичну та іншу залежно від спеціалізації) з використанням науково верифікованих</w:t>
      </w:r>
      <w:r>
        <w:rPr>
          <w:szCs w:val="28"/>
        </w:rPr>
        <w:t xml:space="preserve"> </w:t>
      </w:r>
      <w:r w:rsidRPr="00A227BA">
        <w:rPr>
          <w:szCs w:val="28"/>
        </w:rPr>
        <w:t>методів</w:t>
      </w:r>
      <w:r>
        <w:rPr>
          <w:szCs w:val="28"/>
        </w:rPr>
        <w:t xml:space="preserve"> </w:t>
      </w:r>
      <w:r w:rsidRPr="00A227BA">
        <w:rPr>
          <w:szCs w:val="28"/>
        </w:rPr>
        <w:t>та</w:t>
      </w:r>
      <w:r>
        <w:rPr>
          <w:szCs w:val="28"/>
        </w:rPr>
        <w:t xml:space="preserve"> </w:t>
      </w:r>
      <w:r w:rsidRPr="00A227BA">
        <w:rPr>
          <w:szCs w:val="28"/>
        </w:rPr>
        <w:t xml:space="preserve">технік. </w:t>
      </w:r>
    </w:p>
    <w:p xmlns:wp14="http://schemas.microsoft.com/office/word/2010/wordml" w:rsidRPr="00A227BA" w:rsidR="00A227BA" w:rsidP="00A227BA" w:rsidRDefault="00A227BA" w14:paraId="07C4CA51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СК9. Здатність дотримуватися у фаховій діяльності норм професійної етики та керуватися загальнолюдськими цінностями.</w:t>
      </w:r>
    </w:p>
    <w:p xmlns:wp14="http://schemas.microsoft.com/office/word/2010/wordml" w:rsidRPr="00A227BA" w:rsidR="00A227BA" w:rsidP="00A227BA" w:rsidRDefault="00A227BA" w14:paraId="1703055D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СК10. Здатність розробляти та впроваджувати інноваційні методи психологічної допомоги клієнтам у складних життєвих ситуаціях.</w:t>
      </w:r>
    </w:p>
    <w:p xmlns:wp14="http://schemas.microsoft.com/office/word/2010/wordml" w:rsidRPr="00A227BA" w:rsidR="00A227BA" w:rsidP="00A227BA" w:rsidRDefault="00A227BA" w14:paraId="31805FD6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СК11. Здатність планувати індивідуальну та групову психологічну роботу з використанням інноваційних психотехнологій та сучасних психодіагностичних методик.</w:t>
      </w:r>
    </w:p>
    <w:p xmlns:wp14="http://schemas.microsoft.com/office/word/2010/wordml" w:rsidRPr="00A227BA" w:rsidR="00A227BA" w:rsidP="00A227BA" w:rsidRDefault="00A227BA" w14:paraId="78BC2688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СК 12. Здатність до розробки та впровадження групових програм з метою активізації особистісного та групового потенціалів.</w:t>
      </w:r>
    </w:p>
    <w:p xmlns:wp14="http://schemas.microsoft.com/office/word/2010/wordml" w:rsidR="00CD1FBA" w:rsidP="00CD1FBA" w:rsidRDefault="00CD1FBA" w14:paraId="55623A05" wp14:textId="77777777">
      <w:pPr>
        <w:pStyle w:val="3"/>
      </w:pPr>
      <w:r w:rsidRPr="00E12F3A">
        <w:t>Результати навчання</w:t>
      </w:r>
    </w:p>
    <w:p xmlns:wp14="http://schemas.microsoft.com/office/word/2010/wordml" w:rsidRPr="00A227BA" w:rsidR="00A227BA" w:rsidP="00A227BA" w:rsidRDefault="00A227BA" w14:paraId="7094FC36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ПР5. Розробляти програми психологічних інтервенцій (тренінг, психотерапія, консультування тощо), провадити їх в індивідуальній та груповій</w:t>
      </w:r>
      <w:r>
        <w:rPr>
          <w:szCs w:val="28"/>
        </w:rPr>
        <w:t xml:space="preserve"> </w:t>
      </w:r>
      <w:r w:rsidRPr="00A227BA">
        <w:rPr>
          <w:szCs w:val="28"/>
        </w:rPr>
        <w:t>роботі,</w:t>
      </w:r>
      <w:r>
        <w:rPr>
          <w:szCs w:val="28"/>
        </w:rPr>
        <w:t xml:space="preserve"> </w:t>
      </w:r>
      <w:r w:rsidRPr="00A227BA">
        <w:rPr>
          <w:szCs w:val="28"/>
        </w:rPr>
        <w:t>оцінювати</w:t>
      </w:r>
      <w:r>
        <w:rPr>
          <w:szCs w:val="28"/>
        </w:rPr>
        <w:t xml:space="preserve"> </w:t>
      </w:r>
      <w:r w:rsidRPr="00A227BA">
        <w:rPr>
          <w:szCs w:val="28"/>
        </w:rPr>
        <w:t>якість.</w:t>
      </w:r>
    </w:p>
    <w:p xmlns:wp14="http://schemas.microsoft.com/office/word/2010/wordml" w:rsidRPr="00A227BA" w:rsidR="00A227BA" w:rsidP="00A227BA" w:rsidRDefault="00A227BA" w14:paraId="42B14BDF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ПР6. Розробляти просвітницькі матеріали та освітні програми, впроваджувати</w:t>
      </w:r>
      <w:r w:rsidR="00B9483D">
        <w:rPr>
          <w:szCs w:val="28"/>
        </w:rPr>
        <w:t xml:space="preserve"> </w:t>
      </w:r>
      <w:r w:rsidRPr="00A227BA">
        <w:rPr>
          <w:szCs w:val="28"/>
        </w:rPr>
        <w:t>їх,</w:t>
      </w:r>
    </w:p>
    <w:p xmlns:wp14="http://schemas.microsoft.com/office/word/2010/wordml" w:rsidR="00A227BA" w:rsidP="00A227BA" w:rsidRDefault="00A227BA" w14:paraId="01EA9358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Отримувати</w:t>
      </w:r>
      <w:r>
        <w:rPr>
          <w:szCs w:val="28"/>
        </w:rPr>
        <w:t xml:space="preserve"> </w:t>
      </w:r>
      <w:r w:rsidRPr="00A227BA">
        <w:rPr>
          <w:szCs w:val="28"/>
        </w:rPr>
        <w:t>зворотній</w:t>
      </w:r>
      <w:r>
        <w:rPr>
          <w:szCs w:val="28"/>
        </w:rPr>
        <w:t xml:space="preserve"> </w:t>
      </w:r>
      <w:r w:rsidRPr="00A227BA">
        <w:rPr>
          <w:szCs w:val="28"/>
        </w:rPr>
        <w:t>зв'язок,</w:t>
      </w:r>
      <w:r>
        <w:rPr>
          <w:szCs w:val="28"/>
        </w:rPr>
        <w:t xml:space="preserve"> </w:t>
      </w:r>
      <w:r w:rsidRPr="00A227BA">
        <w:rPr>
          <w:szCs w:val="28"/>
        </w:rPr>
        <w:t>оцінювати</w:t>
      </w:r>
      <w:r w:rsidRPr="00A227BA">
        <w:rPr>
          <w:szCs w:val="28"/>
        </w:rPr>
        <w:tab/>
      </w:r>
      <w:r w:rsidRPr="00A227BA">
        <w:rPr>
          <w:szCs w:val="28"/>
        </w:rPr>
        <w:t xml:space="preserve">якість. </w:t>
      </w:r>
    </w:p>
    <w:p xmlns:wp14="http://schemas.microsoft.com/office/word/2010/wordml" w:rsidR="00A227BA" w:rsidP="00A227BA" w:rsidRDefault="00A227BA" w14:paraId="0EFA76C4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ПР8. Оцінювати ступінь складності завдань діяльності та приймати рішення про</w:t>
      </w:r>
      <w:r>
        <w:rPr>
          <w:szCs w:val="28"/>
        </w:rPr>
        <w:t xml:space="preserve"> </w:t>
      </w:r>
      <w:r w:rsidRPr="00A227BA">
        <w:rPr>
          <w:szCs w:val="28"/>
        </w:rPr>
        <w:t>звернення</w:t>
      </w:r>
      <w:r>
        <w:rPr>
          <w:szCs w:val="28"/>
        </w:rPr>
        <w:t xml:space="preserve"> </w:t>
      </w:r>
      <w:r w:rsidRPr="00A227BA">
        <w:rPr>
          <w:szCs w:val="28"/>
        </w:rPr>
        <w:t>за</w:t>
      </w:r>
      <w:r>
        <w:rPr>
          <w:szCs w:val="28"/>
        </w:rPr>
        <w:t xml:space="preserve"> </w:t>
      </w:r>
      <w:r w:rsidRPr="00A227BA">
        <w:rPr>
          <w:szCs w:val="28"/>
        </w:rPr>
        <w:t>допомогою</w:t>
      </w:r>
      <w:r>
        <w:rPr>
          <w:szCs w:val="28"/>
        </w:rPr>
        <w:t xml:space="preserve"> </w:t>
      </w:r>
      <w:r w:rsidRPr="00A227BA">
        <w:rPr>
          <w:szCs w:val="28"/>
        </w:rPr>
        <w:t>або</w:t>
      </w:r>
      <w:r>
        <w:rPr>
          <w:szCs w:val="28"/>
        </w:rPr>
        <w:t xml:space="preserve"> </w:t>
      </w:r>
      <w:r w:rsidRPr="00A227BA">
        <w:rPr>
          <w:szCs w:val="28"/>
        </w:rPr>
        <w:t>підвищення</w:t>
      </w:r>
      <w:r>
        <w:rPr>
          <w:szCs w:val="28"/>
        </w:rPr>
        <w:t xml:space="preserve"> </w:t>
      </w:r>
      <w:r w:rsidRPr="00A227BA">
        <w:rPr>
          <w:szCs w:val="28"/>
        </w:rPr>
        <w:t xml:space="preserve">кваліфікації. </w:t>
      </w:r>
    </w:p>
    <w:p xmlns:wp14="http://schemas.microsoft.com/office/word/2010/wordml" w:rsidR="00A227BA" w:rsidP="00A227BA" w:rsidRDefault="00A227BA" w14:paraId="740307B7" wp14:textId="77777777">
      <w:pPr>
        <w:tabs>
          <w:tab w:val="left" w:pos="830"/>
        </w:tabs>
        <w:rPr>
          <w:szCs w:val="28"/>
        </w:rPr>
      </w:pPr>
      <w:r w:rsidRPr="00A227BA">
        <w:rPr>
          <w:szCs w:val="28"/>
        </w:rPr>
        <w:t>ПР9. Вирішувати етичні дилеми з опорою на норми закону, етичні принципи та загальнолюдські цінності.</w:t>
      </w:r>
    </w:p>
    <w:p xmlns:wp14="http://schemas.microsoft.com/office/word/2010/wordml" w:rsidR="00B9483D" w:rsidP="00A227BA" w:rsidRDefault="00B9483D" w14:paraId="7EA1BD3C" wp14:textId="77777777">
      <w:pPr>
        <w:tabs>
          <w:tab w:val="left" w:pos="830"/>
        </w:tabs>
        <w:rPr>
          <w:szCs w:val="28"/>
        </w:rPr>
      </w:pPr>
      <w:r w:rsidRPr="00B9483D">
        <w:rPr>
          <w:szCs w:val="28"/>
        </w:rPr>
        <w:t>ПР12. Впроваджувати інноваційні технології та методи індивідуальної та групової психологічної допомоги з використанням інноваційних психотехнологій та сучасних психодіагностичних методик</w:t>
      </w:r>
      <w:r>
        <w:rPr>
          <w:szCs w:val="28"/>
        </w:rPr>
        <w:t>.</w:t>
      </w:r>
    </w:p>
    <w:p xmlns:wp14="http://schemas.microsoft.com/office/word/2010/wordml" w:rsidRPr="00A227BA" w:rsidR="00B9483D" w:rsidP="00A227BA" w:rsidRDefault="00B9483D" w14:paraId="3FF95BA1" wp14:textId="77777777">
      <w:pPr>
        <w:tabs>
          <w:tab w:val="left" w:pos="830"/>
        </w:tabs>
        <w:rPr>
          <w:szCs w:val="28"/>
        </w:rPr>
      </w:pPr>
      <w:r w:rsidRPr="00B9483D">
        <w:rPr>
          <w:szCs w:val="28"/>
        </w:rPr>
        <w:t>ПР 14. Здійснювати психологічну підтримку постановки та досягнення особистих та професійних цілей індивідуумів та професійних команд</w:t>
      </w:r>
    </w:p>
    <w:p xmlns:wp14="http://schemas.microsoft.com/office/word/2010/wordml" w:rsidRPr="00806F52" w:rsidR="00CD1FBA" w:rsidP="00CD1FBA" w:rsidRDefault="00CD1FBA" w14:paraId="2A525C21" wp14:textId="77777777">
      <w:pPr>
        <w:pStyle w:val="3"/>
      </w:pPr>
      <w:r w:rsidRPr="00806F52">
        <w:t>Обсяг</w:t>
      </w:r>
      <w:r>
        <w:t xml:space="preserve"> дисципліни</w:t>
      </w:r>
    </w:p>
    <w:p xmlns:wp14="http://schemas.microsoft.com/office/word/2010/wordml" w:rsidRPr="00747D1C" w:rsidR="00CD1FBA" w:rsidP="0063292E" w:rsidRDefault="00CD1FBA" w14:paraId="11AE564B" wp14:textId="77777777">
      <w:pPr>
        <w:tabs>
          <w:tab w:val="left" w:pos="830"/>
        </w:tabs>
        <w:rPr>
          <w:szCs w:val="28"/>
        </w:rPr>
      </w:pPr>
      <w:r w:rsidRPr="00747D1C">
        <w:rPr>
          <w:szCs w:val="28"/>
        </w:rPr>
        <w:t xml:space="preserve">Загальний обсяг дисципліни </w:t>
      </w:r>
      <w:r w:rsidR="00B9483D">
        <w:rPr>
          <w:szCs w:val="28"/>
        </w:rPr>
        <w:t>180</w:t>
      </w:r>
      <w:r w:rsidRPr="00747D1C">
        <w:rPr>
          <w:szCs w:val="28"/>
        </w:rPr>
        <w:t xml:space="preserve"> год. (</w:t>
      </w:r>
      <w:r w:rsidR="00B9483D">
        <w:rPr>
          <w:szCs w:val="28"/>
        </w:rPr>
        <w:t>6</w:t>
      </w:r>
      <w:r w:rsidRPr="00747D1C">
        <w:rPr>
          <w:szCs w:val="28"/>
        </w:rPr>
        <w:t xml:space="preserve"> кредитів ECTS): лекції – </w:t>
      </w:r>
      <w:r w:rsidR="00B9483D">
        <w:rPr>
          <w:szCs w:val="28"/>
        </w:rPr>
        <w:t>32</w:t>
      </w:r>
      <w:r w:rsidRPr="00747D1C">
        <w:rPr>
          <w:szCs w:val="28"/>
        </w:rPr>
        <w:t xml:space="preserve"> год., </w:t>
      </w:r>
      <w:r w:rsidR="000F0EA8">
        <w:rPr>
          <w:szCs w:val="28"/>
        </w:rPr>
        <w:t>практичні</w:t>
      </w:r>
      <w:r w:rsidRPr="00747D1C">
        <w:rPr>
          <w:szCs w:val="28"/>
        </w:rPr>
        <w:t xml:space="preserve"> роботи – </w:t>
      </w:r>
      <w:r w:rsidR="00B9483D">
        <w:rPr>
          <w:szCs w:val="28"/>
        </w:rPr>
        <w:t>32</w:t>
      </w:r>
      <w:r w:rsidRPr="00747D1C">
        <w:rPr>
          <w:szCs w:val="28"/>
        </w:rPr>
        <w:t xml:space="preserve"> год., самостійна робота – </w:t>
      </w:r>
      <w:r w:rsidR="00B9483D">
        <w:rPr>
          <w:szCs w:val="28"/>
        </w:rPr>
        <w:t>116</w:t>
      </w:r>
      <w:r w:rsidRPr="00747D1C">
        <w:rPr>
          <w:szCs w:val="28"/>
        </w:rPr>
        <w:t xml:space="preserve"> год.</w:t>
      </w:r>
    </w:p>
    <w:p xmlns:wp14="http://schemas.microsoft.com/office/word/2010/wordml" w:rsidRPr="00806F52" w:rsidR="00CD1FBA" w:rsidP="00CD1FBA" w:rsidRDefault="00CD1FBA" w14:paraId="5CCCD375" wp14:textId="77777777">
      <w:pPr>
        <w:pStyle w:val="3"/>
      </w:pPr>
      <w:r>
        <w:t>Передумови вивчення дисципліни (пререквізити)</w:t>
      </w:r>
    </w:p>
    <w:p xmlns:wp14="http://schemas.microsoft.com/office/word/2010/wordml" w:rsidR="00CD1FBA" w:rsidP="00CD1FBA" w:rsidRDefault="00514D51" w14:paraId="7060B691" wp14:textId="77777777">
      <w:pPr>
        <w:rPr>
          <w:lang w:eastAsia="ru-RU"/>
        </w:rPr>
      </w:pPr>
      <w:r>
        <w:rPr>
          <w:lang w:eastAsia="ru-RU"/>
        </w:rPr>
        <w:t>Успішне проходження курсу не вимагає попередньої підготовки</w:t>
      </w:r>
      <w:r w:rsidRPr="00F45EBD" w:rsidR="00F5138B">
        <w:rPr>
          <w:lang w:eastAsia="ru-RU"/>
        </w:rPr>
        <w:t>.</w:t>
      </w:r>
    </w:p>
    <w:p xmlns:wp14="http://schemas.microsoft.com/office/word/2010/wordml" w:rsidRPr="00806F52" w:rsidR="00CD1FBA" w:rsidP="00CD1FBA" w:rsidRDefault="00CD1FBA" w14:paraId="3BB38E5E" wp14:textId="77777777">
      <w:pPr>
        <w:pStyle w:val="3"/>
      </w:pPr>
      <w:r w:rsidRPr="00806F52">
        <w:t>Особливості дисципліни</w:t>
      </w:r>
      <w:r>
        <w:t>, методи та технології навчання</w:t>
      </w:r>
    </w:p>
    <w:p xmlns:wp14="http://schemas.microsoft.com/office/word/2010/wordml" w:rsidR="00B50677" w:rsidP="00CD1FBA" w:rsidRDefault="00712F48" w14:paraId="5A0B3649" wp14:textId="77777777">
      <w:pPr>
        <w:rPr>
          <w:lang w:eastAsia="ru-RU"/>
        </w:rPr>
      </w:pPr>
      <w:r>
        <w:rPr>
          <w:lang w:eastAsia="ru-RU"/>
        </w:rPr>
        <w:t xml:space="preserve">Лекції проводяться інтерактивно з використанням мультимедійних технологій. </w:t>
      </w:r>
      <w:r w:rsidRPr="00B50677" w:rsidR="00B50677">
        <w:rPr>
          <w:lang w:eastAsia="ru-RU"/>
        </w:rPr>
        <w:t>На лекційних заняттях використовуються: розповідь, пояснення, демонстрація, дискусія.</w:t>
      </w:r>
    </w:p>
    <w:p xmlns:wp14="http://schemas.microsoft.com/office/word/2010/wordml" w:rsidRPr="00B50677" w:rsidR="0063292E" w:rsidP="00B50677" w:rsidRDefault="0063292E" w14:paraId="6C6C0F4B" wp14:textId="77777777">
      <w:pPr>
        <w:rPr>
          <w:lang w:eastAsia="ru-RU"/>
        </w:rPr>
      </w:pPr>
      <w:r w:rsidRPr="00B50677">
        <w:rPr>
          <w:lang w:eastAsia="ru-RU"/>
        </w:rPr>
        <w:t xml:space="preserve">На </w:t>
      </w:r>
      <w:r w:rsidR="00514D51">
        <w:rPr>
          <w:lang w:eastAsia="ru-RU"/>
        </w:rPr>
        <w:t>практичних</w:t>
      </w:r>
      <w:r w:rsidRPr="00B50677" w:rsidR="00B50677">
        <w:rPr>
          <w:lang w:eastAsia="ru-RU"/>
        </w:rPr>
        <w:t xml:space="preserve"> роботах </w:t>
      </w:r>
      <w:r w:rsidRPr="00B50677">
        <w:rPr>
          <w:lang w:eastAsia="ru-RU"/>
        </w:rPr>
        <w:t xml:space="preserve">студенти виконують індивідуальні завдання </w:t>
      </w:r>
      <w:r w:rsidR="00514D51">
        <w:rPr>
          <w:lang w:eastAsia="ru-RU"/>
        </w:rPr>
        <w:t xml:space="preserve">для </w:t>
      </w:r>
      <w:r w:rsidR="00576337">
        <w:rPr>
          <w:lang w:eastAsia="ru-RU"/>
        </w:rPr>
        <w:t>самооцінки та оцінки ментального здоров</w:t>
      </w:r>
      <w:r w:rsidR="00576337">
        <w:rPr>
          <w:lang w:val="en-US" w:eastAsia="ru-RU"/>
        </w:rPr>
        <w:t>’</w:t>
      </w:r>
      <w:r w:rsidR="00576337">
        <w:rPr>
          <w:lang w:eastAsia="ru-RU"/>
        </w:rPr>
        <w:t>я, підбору технік та метододів психологічної допомоги та самодопомоги, організації групової психологічної роботи</w:t>
      </w:r>
      <w:r w:rsidRPr="00B50677">
        <w:rPr>
          <w:lang w:eastAsia="ru-RU"/>
        </w:rPr>
        <w:t>.</w:t>
      </w:r>
    </w:p>
    <w:p xmlns:wp14="http://schemas.microsoft.com/office/word/2010/wordml" w:rsidR="00514D51" w:rsidP="0063292E" w:rsidRDefault="0063292E" w14:paraId="517D299C" wp14:textId="77777777">
      <w:pPr>
        <w:rPr>
          <w:lang w:eastAsia="ru-RU"/>
        </w:rPr>
      </w:pPr>
      <w:r w:rsidRPr="00B50677">
        <w:rPr>
          <w:lang w:eastAsia="ru-RU"/>
        </w:rPr>
        <w:t xml:space="preserve">За джерелами знань використовуються такі методи навчання: словесні – розповідь, пояснення, інструктаж; наочні – демонстрація, ілюстрація; </w:t>
      </w:r>
      <w:r w:rsidR="00514D51">
        <w:rPr>
          <w:lang w:val="ru-RU" w:eastAsia="ru-RU"/>
        </w:rPr>
        <w:t>практична</w:t>
      </w:r>
      <w:r w:rsidRPr="00B50677">
        <w:rPr>
          <w:lang w:eastAsia="ru-RU"/>
        </w:rPr>
        <w:t xml:space="preserve"> робота,</w:t>
      </w:r>
      <w:r w:rsidR="00A227BA">
        <w:rPr>
          <w:lang w:eastAsia="ru-RU"/>
        </w:rPr>
        <w:t xml:space="preserve"> </w:t>
      </w:r>
      <w:r w:rsidR="00514D51">
        <w:rPr>
          <w:lang w:val="ru-RU" w:eastAsia="ru-RU"/>
        </w:rPr>
        <w:t>групов</w:t>
      </w:r>
      <w:r w:rsidR="00514D51">
        <w:rPr>
          <w:lang w:eastAsia="ru-RU"/>
        </w:rPr>
        <w:t xml:space="preserve">і та парні </w:t>
      </w:r>
      <w:r w:rsidRPr="00B50677">
        <w:rPr>
          <w:lang w:eastAsia="ru-RU"/>
        </w:rPr>
        <w:t xml:space="preserve">вправи, контрольні роботи. </w:t>
      </w:r>
    </w:p>
    <w:p xmlns:wp14="http://schemas.microsoft.com/office/word/2010/wordml" w:rsidRPr="00B50677" w:rsidR="00B50677" w:rsidP="0063292E" w:rsidRDefault="0063292E" w14:paraId="1F82BC1B" wp14:textId="77777777">
      <w:pPr>
        <w:rPr>
          <w:lang w:eastAsia="ru-RU"/>
        </w:rPr>
      </w:pPr>
      <w:r w:rsidRPr="00B50677">
        <w:rPr>
          <w:lang w:eastAsia="ru-RU"/>
        </w:rPr>
        <w:t>За характером логіки пізнання використовуються такі методи: аналітичний, синтетичний, аналітико-синтетичний, індуктивний, дедуктивний.</w:t>
      </w:r>
    </w:p>
    <w:p xmlns:wp14="http://schemas.microsoft.com/office/word/2010/wordml" w:rsidRPr="00B50677" w:rsidR="0063292E" w:rsidP="0063292E" w:rsidRDefault="0063292E" w14:paraId="68E8D586" wp14:textId="77777777">
      <w:pPr>
        <w:rPr>
          <w:lang w:eastAsia="ru-RU"/>
        </w:rPr>
      </w:pPr>
      <w:r w:rsidRPr="00B50677">
        <w:rPr>
          <w:lang w:eastAsia="ru-RU"/>
        </w:rPr>
        <w:t>За рівнем самостійної розумової діяльності використовуються методи: проблемний, частково-пошуковий, дослідницький.</w:t>
      </w:r>
    </w:p>
    <w:p xmlns:wp14="http://schemas.microsoft.com/office/word/2010/wordml" w:rsidR="00CD1FBA" w:rsidP="00CD1FBA" w:rsidRDefault="00B50677" w14:paraId="24D89638" wp14:textId="77777777">
      <w:pPr>
        <w:rPr>
          <w:lang w:eastAsia="ru-RU"/>
        </w:rPr>
      </w:pPr>
      <w:r>
        <w:rPr>
          <w:lang w:eastAsia="ru-RU"/>
        </w:rPr>
        <w:t>Навчальні матеріали доступні студентам в хмарному</w:t>
      </w:r>
      <w:r w:rsidR="00A227BA">
        <w:rPr>
          <w:lang w:eastAsia="ru-RU"/>
        </w:rPr>
        <w:t xml:space="preserve"> </w:t>
      </w:r>
      <w:r>
        <w:rPr>
          <w:lang w:eastAsia="ru-RU"/>
        </w:rPr>
        <w:t xml:space="preserve">середовищі Google </w:t>
      </w:r>
      <w:r w:rsidRPr="00B50677">
        <w:rPr>
          <w:lang w:eastAsia="ru-RU"/>
        </w:rPr>
        <w:t>Disk</w:t>
      </w:r>
      <w:r>
        <w:rPr>
          <w:lang w:eastAsia="ru-RU"/>
        </w:rPr>
        <w:t>.</w:t>
      </w:r>
    </w:p>
    <w:p xmlns:wp14="http://schemas.microsoft.com/office/word/2010/wordml" w:rsidR="00CD1FBA" w:rsidP="00CD1FBA" w:rsidRDefault="00CD1FBA" w14:paraId="350961EF" wp14:textId="77777777">
      <w:pPr>
        <w:pStyle w:val="2"/>
        <w:rPr>
          <w:lang w:eastAsia="ru-RU"/>
        </w:rPr>
      </w:pPr>
      <w:r w:rsidRPr="007157AE">
        <w:rPr>
          <w:lang w:eastAsia="ru-RU"/>
        </w:rPr>
        <w:t>Програма навчальної дисципліни</w:t>
      </w:r>
    </w:p>
    <w:p xmlns:wp14="http://schemas.microsoft.com/office/word/2010/wordml" w:rsidRPr="007157AE" w:rsidR="00CD1FBA" w:rsidP="00CD1FBA" w:rsidRDefault="00CD1FBA" w14:paraId="516905EE" wp14:textId="77777777">
      <w:pPr>
        <w:pStyle w:val="3"/>
      </w:pPr>
      <w:r w:rsidRPr="007157AE">
        <w:t>Теми лекційних занять</w:t>
      </w:r>
    </w:p>
    <w:p xmlns:wp14="http://schemas.microsoft.com/office/word/2010/wordml" w:rsidRPr="002C34B2" w:rsidR="00CD1FBA" w:rsidP="0071787C" w:rsidRDefault="00CD1FBA" w14:paraId="6C4387E0" wp14:textId="77777777">
      <w:pPr>
        <w:pStyle w:val="4"/>
        <w:rPr>
          <w:color w:val="auto"/>
        </w:rPr>
      </w:pPr>
      <w:r w:rsidRPr="005232A7">
        <w:rPr>
          <w:color w:val="auto"/>
        </w:rPr>
        <w:t>Тема 1. Вступ</w:t>
      </w:r>
      <w:r w:rsidR="00576337">
        <w:rPr>
          <w:color w:val="auto"/>
          <w:lang w:val="ru-RU"/>
        </w:rPr>
        <w:t>Поняття ментального здоров</w:t>
      </w:r>
      <w:r w:rsidR="00576337">
        <w:rPr>
          <w:color w:val="auto"/>
          <w:lang w:val="en-US"/>
        </w:rPr>
        <w:t>’</w:t>
      </w:r>
      <w:r w:rsidR="00576337">
        <w:rPr>
          <w:color w:val="auto"/>
        </w:rPr>
        <w:t>я</w:t>
      </w:r>
      <w:r w:rsidRPr="005232A7" w:rsidR="0071787C">
        <w:rPr>
          <w:color w:val="auto"/>
        </w:rPr>
        <w:t>.</w:t>
      </w:r>
      <w:r w:rsidR="00576337">
        <w:rPr>
          <w:color w:val="auto"/>
        </w:rPr>
        <w:t xml:space="preserve"> Міфи про ментальне здоров</w:t>
      </w:r>
      <w:r w:rsidR="00576337">
        <w:rPr>
          <w:color w:val="auto"/>
          <w:lang w:val="en-US"/>
        </w:rPr>
        <w:t>’</w:t>
      </w:r>
      <w:r w:rsidR="00576337">
        <w:rPr>
          <w:color w:val="auto"/>
        </w:rPr>
        <w:t>я. Історія становлення системи підтримки ментального здоров</w:t>
      </w:r>
      <w:r w:rsidR="00576337">
        <w:rPr>
          <w:color w:val="auto"/>
          <w:lang w:val="en-US"/>
        </w:rPr>
        <w:t>’</w:t>
      </w:r>
      <w:r w:rsidR="00576337">
        <w:rPr>
          <w:color w:val="auto"/>
          <w:lang w:val="ru-RU"/>
        </w:rPr>
        <w:t>я в Україні та її сучасний стан. Вимоги до фахівця в сфері ментального здоров</w:t>
      </w:r>
      <w:r w:rsidR="00576337">
        <w:rPr>
          <w:color w:val="auto"/>
          <w:lang w:val="en-US"/>
        </w:rPr>
        <w:t>’</w:t>
      </w:r>
      <w:r w:rsidR="00576337">
        <w:rPr>
          <w:color w:val="auto"/>
        </w:rPr>
        <w:t>я.</w:t>
      </w:r>
      <w:r w:rsidR="00BF669B">
        <w:rPr>
          <w:color w:val="auto"/>
        </w:rPr>
        <w:t xml:space="preserve"> </w:t>
      </w:r>
      <w:r w:rsidR="002C34B2">
        <w:rPr>
          <w:color w:val="auto"/>
          <w:lang w:val="ru-RU"/>
        </w:rPr>
        <w:t>Проблеми ментального здоров</w:t>
      </w:r>
      <w:r w:rsidR="002C34B2">
        <w:rPr>
          <w:color w:val="auto"/>
          <w:lang w:val="en-US"/>
        </w:rPr>
        <w:t>’</w:t>
      </w:r>
      <w:r w:rsidR="002C34B2">
        <w:rPr>
          <w:color w:val="auto"/>
        </w:rPr>
        <w:t>я в умовах війни.</w:t>
      </w:r>
    </w:p>
    <w:p xmlns:wp14="http://schemas.microsoft.com/office/word/2010/wordml" w:rsidRPr="00954A53" w:rsidR="00CD1FBA" w:rsidP="0071787C" w:rsidRDefault="00CD1FBA" w14:paraId="38DE173A" wp14:textId="77777777">
      <w:pPr>
        <w:pStyle w:val="4"/>
        <w:rPr>
          <w:color w:val="auto"/>
          <w:lang w:val="en-US"/>
        </w:rPr>
      </w:pPr>
      <w:r w:rsidRPr="005232A7">
        <w:rPr>
          <w:color w:val="auto"/>
        </w:rPr>
        <w:t xml:space="preserve">Тема 2. </w:t>
      </w:r>
      <w:r w:rsidR="00954A53">
        <w:rPr>
          <w:color w:val="auto"/>
          <w:lang w:val="ru-RU"/>
        </w:rPr>
        <w:t>Психодіагностичні інструменти для оцінки стану ментального здоров</w:t>
      </w:r>
      <w:r w:rsidR="00954A53">
        <w:rPr>
          <w:color w:val="auto"/>
          <w:lang w:val="en-US"/>
        </w:rPr>
        <w:t>’</w:t>
      </w:r>
      <w:r w:rsidR="00954A53">
        <w:rPr>
          <w:color w:val="auto"/>
        </w:rPr>
        <w:t>я</w:t>
      </w:r>
      <w:r w:rsidRPr="005232A7" w:rsidR="0071787C">
        <w:rPr>
          <w:color w:val="auto"/>
        </w:rPr>
        <w:t>.</w:t>
      </w:r>
      <w:r w:rsidR="00954A53">
        <w:rPr>
          <w:color w:val="auto"/>
        </w:rPr>
        <w:t xml:space="preserve"> Використання універсальних інструментів </w:t>
      </w:r>
      <w:r w:rsidR="00954A53">
        <w:rPr>
          <w:color w:val="auto"/>
          <w:lang w:val="en-US"/>
        </w:rPr>
        <w:t xml:space="preserve">PHQ, GAD </w:t>
      </w:r>
      <w:r w:rsidR="00954A53">
        <w:rPr>
          <w:color w:val="auto"/>
        </w:rPr>
        <w:t xml:space="preserve">та </w:t>
      </w:r>
      <w:r w:rsidR="00954A53">
        <w:rPr>
          <w:color w:val="auto"/>
          <w:lang w:val="en-US"/>
        </w:rPr>
        <w:t xml:space="preserve">PANAS </w:t>
      </w:r>
      <w:r w:rsidR="00954A53">
        <w:rPr>
          <w:color w:val="auto"/>
        </w:rPr>
        <w:t>для оцінки та самооцінки стану ментального здоров</w:t>
      </w:r>
      <w:r w:rsidR="00954A53">
        <w:rPr>
          <w:color w:val="auto"/>
          <w:lang w:val="en-US"/>
        </w:rPr>
        <w:t>’</w:t>
      </w:r>
      <w:r w:rsidR="00954A53">
        <w:rPr>
          <w:color w:val="auto"/>
          <w:lang w:val="ru-RU"/>
        </w:rPr>
        <w:t xml:space="preserve">я. </w:t>
      </w:r>
    </w:p>
    <w:p xmlns:wp14="http://schemas.microsoft.com/office/word/2010/wordml" w:rsidRPr="005232A7" w:rsidR="00CD1FBA" w:rsidP="0071787C" w:rsidRDefault="00CD1FBA" w14:paraId="60B1232E" wp14:textId="77777777">
      <w:pPr>
        <w:pStyle w:val="4"/>
        <w:rPr>
          <w:color w:val="auto"/>
        </w:rPr>
      </w:pPr>
      <w:r w:rsidRPr="005232A7">
        <w:rPr>
          <w:color w:val="auto"/>
        </w:rPr>
        <w:t xml:space="preserve">Тема 3. </w:t>
      </w:r>
      <w:r w:rsidR="00954A53">
        <w:rPr>
          <w:color w:val="auto"/>
          <w:lang w:val="ru-RU"/>
        </w:rPr>
        <w:t>Техніки швидкої допомоги</w:t>
      </w:r>
      <w:r w:rsidRPr="005232A7" w:rsidR="00767496">
        <w:rPr>
          <w:color w:val="auto"/>
        </w:rPr>
        <w:t>.</w:t>
      </w:r>
      <w:r w:rsidRPr="005232A7" w:rsidR="0071787C">
        <w:rPr>
          <w:color w:val="auto"/>
        </w:rPr>
        <w:t xml:space="preserve"> </w:t>
      </w:r>
      <w:r w:rsidR="00954A53">
        <w:rPr>
          <w:color w:val="auto"/>
        </w:rPr>
        <w:t>Панічні атаки: особливості, небезпека, техніки реагування. Техніки заземлення.</w:t>
      </w:r>
    </w:p>
    <w:p xmlns:wp14="http://schemas.microsoft.com/office/word/2010/wordml" w:rsidRPr="005232A7" w:rsidR="00767496" w:rsidP="00767496" w:rsidRDefault="00767496" w14:paraId="3B590F19" wp14:textId="1123DB51">
      <w:pPr>
        <w:pStyle w:val="4"/>
        <w:rPr>
          <w:color w:val="auto"/>
        </w:rPr>
      </w:pPr>
      <w:r w:rsidRPr="53F5762A" w:rsidR="00767496">
        <w:rPr>
          <w:color w:val="auto"/>
        </w:rPr>
        <w:t xml:space="preserve">Тема 4. </w:t>
      </w:r>
      <w:r w:rsidRPr="53F5762A" w:rsidR="00954A53">
        <w:rPr>
          <w:color w:val="auto"/>
        </w:rPr>
        <w:t>Тривожність та інструменти допомоги та самодопомоги при тривожності</w:t>
      </w:r>
      <w:r w:rsidRPr="53F5762A" w:rsidR="0071787C">
        <w:rPr>
          <w:color w:val="auto"/>
        </w:rPr>
        <w:t>.</w:t>
      </w:r>
      <w:r w:rsidRPr="53F5762A" w:rsidR="00954A53">
        <w:rPr>
          <w:color w:val="auto"/>
        </w:rPr>
        <w:t xml:space="preserve"> Поняття тривожності та види тривожних розладів. Релаксаційні техніки. КПТ та ДБТ при корекції тривожних станів.</w:t>
      </w:r>
      <w:r w:rsidRPr="53F5762A" w:rsidR="3F90014B">
        <w:rPr>
          <w:color w:val="auto"/>
        </w:rPr>
        <w:t xml:space="preserve"> Можливості використання інструментів </w:t>
      </w:r>
      <w:r w:rsidRPr="53F5762A" w:rsidR="3F90014B">
        <w:rPr>
          <w:color w:val="auto"/>
        </w:rPr>
        <w:t>Digital</w:t>
      </w:r>
      <w:r w:rsidRPr="53F5762A" w:rsidR="3F90014B">
        <w:rPr>
          <w:color w:val="auto"/>
        </w:rPr>
        <w:t xml:space="preserve"> Health.</w:t>
      </w:r>
    </w:p>
    <w:p xmlns:wp14="http://schemas.microsoft.com/office/word/2010/wordml" w:rsidRPr="005232A7" w:rsidR="0071787C" w:rsidP="0071787C" w:rsidRDefault="00767496" w14:paraId="3A01D823" wp14:textId="392A8FCE">
      <w:pPr>
        <w:pStyle w:val="4"/>
        <w:rPr>
          <w:color w:val="auto"/>
        </w:rPr>
      </w:pPr>
      <w:r w:rsidRPr="53F5762A" w:rsidR="00767496">
        <w:rPr>
          <w:color w:val="auto"/>
        </w:rPr>
        <w:t xml:space="preserve">Тема 5. </w:t>
      </w:r>
      <w:r w:rsidRPr="53F5762A" w:rsidR="00954A53">
        <w:rPr>
          <w:color w:val="auto"/>
          <w:lang w:val="ru-RU"/>
        </w:rPr>
        <w:t>Депрес</w:t>
      </w:r>
      <w:r w:rsidRPr="53F5762A" w:rsidR="00954A53">
        <w:rPr>
          <w:color w:val="auto"/>
        </w:rPr>
        <w:t>ія</w:t>
      </w:r>
      <w:r w:rsidRPr="53F5762A" w:rsidR="00954A53">
        <w:rPr>
          <w:color w:val="auto"/>
        </w:rPr>
        <w:t xml:space="preserve"> та інструменти допомоги та самодопомоги при депресії</w:t>
      </w:r>
      <w:r w:rsidRPr="53F5762A" w:rsidR="0071787C">
        <w:rPr>
          <w:color w:val="auto"/>
        </w:rPr>
        <w:t>.</w:t>
      </w:r>
      <w:r w:rsidRPr="53F5762A" w:rsidR="00954A53">
        <w:rPr>
          <w:color w:val="auto"/>
        </w:rPr>
        <w:t xml:space="preserve"> Особливості роботи з депресією в клінічній </w:t>
      </w:r>
      <w:r w:rsidRPr="53F5762A" w:rsidR="00954A53">
        <w:rPr>
          <w:color w:val="auto"/>
        </w:rPr>
        <w:t>пра</w:t>
      </w:r>
      <w:r w:rsidRPr="53F5762A" w:rsidR="45136D62">
        <w:rPr>
          <w:color w:val="auto"/>
        </w:rPr>
        <w:t>к</w:t>
      </w:r>
      <w:r w:rsidRPr="53F5762A" w:rsidR="00954A53">
        <w:rPr>
          <w:color w:val="auto"/>
        </w:rPr>
        <w:t>тиці</w:t>
      </w:r>
      <w:r w:rsidRPr="53F5762A" w:rsidR="00954A53">
        <w:rPr>
          <w:color w:val="auto"/>
        </w:rPr>
        <w:t>. Система психосоціальної підтримки при депресії.</w:t>
      </w:r>
    </w:p>
    <w:p xmlns:wp14="http://schemas.microsoft.com/office/word/2010/wordml" w:rsidRPr="005232A7" w:rsidR="00880E34" w:rsidP="0071787C" w:rsidRDefault="00880E34" w14:paraId="57636373" wp14:textId="77777777">
      <w:pPr>
        <w:pStyle w:val="4"/>
        <w:rPr>
          <w:color w:val="auto"/>
        </w:rPr>
      </w:pPr>
      <w:r w:rsidRPr="005232A7">
        <w:rPr>
          <w:color w:val="auto"/>
        </w:rPr>
        <w:t xml:space="preserve">Тема 6. </w:t>
      </w:r>
      <w:r w:rsidR="00954A53">
        <w:rPr>
          <w:color w:val="auto"/>
        </w:rPr>
        <w:t>Порушення сну та інструменти допомоги та самодопомоги при порушеннях сну</w:t>
      </w:r>
      <w:r w:rsidRPr="005232A7" w:rsidR="00711E43">
        <w:rPr>
          <w:color w:val="auto"/>
        </w:rPr>
        <w:t>.</w:t>
      </w:r>
      <w:r w:rsidR="00BF669B">
        <w:rPr>
          <w:color w:val="auto"/>
        </w:rPr>
        <w:t xml:space="preserve"> Причини та особливості проявів порушень сну. Методи КПТ при роботі зі сном. </w:t>
      </w:r>
    </w:p>
    <w:p xmlns:wp14="http://schemas.microsoft.com/office/word/2010/wordml" w:rsidRPr="003453B5" w:rsidR="00880E34" w:rsidP="00711E43" w:rsidRDefault="00880E34" w14:paraId="4159DC57" wp14:textId="77777777">
      <w:pPr>
        <w:pStyle w:val="4"/>
        <w:rPr>
          <w:color w:val="auto"/>
        </w:rPr>
      </w:pPr>
      <w:r w:rsidRPr="005232A7">
        <w:rPr>
          <w:color w:val="auto"/>
        </w:rPr>
        <w:t xml:space="preserve">Тема 7. </w:t>
      </w:r>
      <w:r w:rsidR="00BF669B">
        <w:rPr>
          <w:bCs/>
          <w:color w:val="auto"/>
        </w:rPr>
        <w:t>Психотерапія в підтриманні ментального здоров</w:t>
      </w:r>
      <w:r w:rsidR="00BF669B">
        <w:rPr>
          <w:bCs/>
          <w:color w:val="auto"/>
          <w:lang w:val="en-US"/>
        </w:rPr>
        <w:t>’</w:t>
      </w:r>
      <w:r w:rsidR="00BF669B">
        <w:rPr>
          <w:bCs/>
          <w:color w:val="auto"/>
        </w:rPr>
        <w:t>я</w:t>
      </w:r>
      <w:r w:rsidRPr="005232A7" w:rsidR="00711E43">
        <w:rPr>
          <w:bCs/>
          <w:color w:val="auto"/>
        </w:rPr>
        <w:t>.</w:t>
      </w:r>
      <w:r w:rsidR="00BF669B">
        <w:rPr>
          <w:bCs/>
          <w:color w:val="auto"/>
        </w:rPr>
        <w:t xml:space="preserve"> Основні напрямки психотерапевтичної допомоги та їх ефективність при вирішенні проблем різного спрямування.</w:t>
      </w:r>
      <w:r w:rsidR="002C34B2">
        <w:rPr>
          <w:bCs/>
          <w:color w:val="auto"/>
        </w:rPr>
        <w:t xml:space="preserve"> Особливості організації системи підтримання ментального здоров</w:t>
      </w:r>
      <w:r w:rsidR="002C34B2">
        <w:rPr>
          <w:bCs/>
          <w:color w:val="auto"/>
          <w:lang w:val="en-US"/>
        </w:rPr>
        <w:t>’</w:t>
      </w:r>
      <w:r w:rsidR="002C34B2">
        <w:rPr>
          <w:bCs/>
          <w:color w:val="auto"/>
        </w:rPr>
        <w:t>я в умовах війни.</w:t>
      </w:r>
      <w:r w:rsidR="003453B5">
        <w:rPr>
          <w:bCs/>
          <w:color w:val="auto"/>
          <w:lang w:val="en-US"/>
        </w:rPr>
        <w:t xml:space="preserve"> </w:t>
      </w:r>
      <w:r w:rsidR="003453B5">
        <w:rPr>
          <w:bCs/>
          <w:color w:val="auto"/>
        </w:rPr>
        <w:t>Особливості діагностики та підтримки ментального здоров</w:t>
      </w:r>
      <w:r w:rsidR="003453B5">
        <w:rPr>
          <w:bCs/>
          <w:color w:val="auto"/>
          <w:lang w:val="en-US"/>
        </w:rPr>
        <w:t>’</w:t>
      </w:r>
      <w:r w:rsidR="003453B5">
        <w:rPr>
          <w:bCs/>
          <w:color w:val="auto"/>
        </w:rPr>
        <w:t>я дітей.</w:t>
      </w:r>
    </w:p>
    <w:p xmlns:wp14="http://schemas.microsoft.com/office/word/2010/wordml" w:rsidRPr="005232A7" w:rsidR="00301AC4" w:rsidP="00711E43" w:rsidRDefault="00880E34" w14:paraId="4BA64D11" wp14:textId="77777777">
      <w:pPr>
        <w:pStyle w:val="4"/>
        <w:rPr>
          <w:color w:val="auto"/>
        </w:rPr>
      </w:pPr>
      <w:r w:rsidRPr="005232A7">
        <w:rPr>
          <w:color w:val="auto"/>
        </w:rPr>
        <w:t xml:space="preserve">Тема 8. </w:t>
      </w:r>
      <w:r w:rsidR="00BF669B">
        <w:rPr>
          <w:color w:val="auto"/>
        </w:rPr>
        <w:t>Групова психотерапія та її можливості в підтриманні ментального здоров</w:t>
      </w:r>
      <w:r w:rsidR="00BF669B">
        <w:rPr>
          <w:color w:val="auto"/>
          <w:lang w:val="en-US"/>
        </w:rPr>
        <w:t>’</w:t>
      </w:r>
      <w:r w:rsidR="00BF669B">
        <w:rPr>
          <w:color w:val="auto"/>
        </w:rPr>
        <w:t>я</w:t>
      </w:r>
      <w:r w:rsidRPr="005232A7" w:rsidR="00711E43">
        <w:rPr>
          <w:color w:val="auto"/>
        </w:rPr>
        <w:t>.</w:t>
      </w:r>
      <w:r w:rsidR="00BF669B">
        <w:rPr>
          <w:color w:val="auto"/>
        </w:rPr>
        <w:t xml:space="preserve"> Сильні сторони та обмеження.</w:t>
      </w:r>
    </w:p>
    <w:p xmlns:wp14="http://schemas.microsoft.com/office/word/2010/wordml" w:rsidRPr="00DB717D" w:rsidR="00CD1FBA" w:rsidP="00CD1FBA" w:rsidRDefault="00CD1FBA" w14:paraId="649D4C28" wp14:textId="77777777">
      <w:pPr>
        <w:pStyle w:val="3"/>
      </w:pPr>
      <w:r w:rsidRPr="00DB717D">
        <w:t>Теми практичних занять</w:t>
      </w:r>
    </w:p>
    <w:p xmlns:wp14="http://schemas.microsoft.com/office/word/2010/wordml" w:rsidRPr="00BF669B" w:rsidR="00CD1FBA" w:rsidP="00CD1FBA" w:rsidRDefault="00BF669B" w14:paraId="51061CF4" wp14:textId="77777777">
      <w:r>
        <w:t>Тема 1. Упередження щодо ментального здоров</w:t>
      </w:r>
      <w:r>
        <w:rPr>
          <w:lang w:val="en-US"/>
        </w:rPr>
        <w:t>’</w:t>
      </w:r>
      <w:r>
        <w:t>я</w:t>
      </w:r>
      <w:r w:rsidR="00C264D3">
        <w:t>.</w:t>
      </w:r>
      <w:r>
        <w:t xml:space="preserve"> Едукаційні заходи подолання упереджень щодо ментального здоров</w:t>
      </w:r>
      <w:r>
        <w:rPr>
          <w:lang w:val="en-US"/>
        </w:rPr>
        <w:t>’</w:t>
      </w:r>
      <w:r>
        <w:t>я.</w:t>
      </w:r>
    </w:p>
    <w:p xmlns:wp14="http://schemas.microsoft.com/office/word/2010/wordml" w:rsidR="00C264D3" w:rsidP="00CD1FBA" w:rsidRDefault="00C264D3" w14:paraId="17DDE212" wp14:textId="77777777">
      <w:r>
        <w:t xml:space="preserve">Тема 2. </w:t>
      </w:r>
      <w:r w:rsidR="00233E1B">
        <w:t>Діагностика та самодіагностика для оцінки ментального здоров</w:t>
      </w:r>
      <w:r w:rsidR="00233E1B">
        <w:rPr>
          <w:lang w:val="en-US"/>
        </w:rPr>
        <w:t>’</w:t>
      </w:r>
      <w:r w:rsidR="002C34B2">
        <w:t>я</w:t>
      </w:r>
      <w:r>
        <w:t xml:space="preserve">. </w:t>
      </w:r>
    </w:p>
    <w:p xmlns:wp14="http://schemas.microsoft.com/office/word/2010/wordml" w:rsidR="00C264D3" w:rsidP="00CD1FBA" w:rsidRDefault="00C264D3" w14:paraId="4E160282" wp14:textId="77777777">
      <w:pPr>
        <w:rPr>
          <w:lang w:eastAsia="ru-RU"/>
        </w:rPr>
      </w:pPr>
      <w:r>
        <w:t xml:space="preserve">Тема 3. </w:t>
      </w:r>
      <w:r w:rsidR="002C34B2">
        <w:t>Практики реагування на панічні атаки</w:t>
      </w:r>
      <w:r>
        <w:rPr>
          <w:lang w:eastAsia="ru-RU"/>
        </w:rPr>
        <w:t>.</w:t>
      </w:r>
    </w:p>
    <w:p xmlns:wp14="http://schemas.microsoft.com/office/word/2010/wordml" w:rsidR="00C264D3" w:rsidP="00CD1FBA" w:rsidRDefault="00C264D3" w14:paraId="251B7940" wp14:textId="77777777">
      <w:pPr>
        <w:rPr>
          <w:lang w:eastAsia="ru-RU"/>
        </w:rPr>
      </w:pPr>
      <w:r>
        <w:rPr>
          <w:lang w:eastAsia="ru-RU"/>
        </w:rPr>
        <w:t xml:space="preserve">Тема 4. </w:t>
      </w:r>
      <w:r w:rsidR="002C34B2">
        <w:rPr>
          <w:lang w:eastAsia="ru-RU"/>
        </w:rPr>
        <w:t>Практики релаксації</w:t>
      </w:r>
      <w:r>
        <w:rPr>
          <w:lang w:eastAsia="ru-RU"/>
        </w:rPr>
        <w:t>.</w:t>
      </w:r>
    </w:p>
    <w:p xmlns:wp14="http://schemas.microsoft.com/office/word/2010/wordml" w:rsidR="00C264D3" w:rsidP="00CD1FBA" w:rsidRDefault="00C264D3" w14:paraId="476664CA" wp14:textId="77777777">
      <w:pPr>
        <w:rPr>
          <w:lang w:eastAsia="ru-RU"/>
        </w:rPr>
      </w:pPr>
      <w:r>
        <w:rPr>
          <w:lang w:eastAsia="ru-RU"/>
        </w:rPr>
        <w:t xml:space="preserve">Тема 5. Практика </w:t>
      </w:r>
      <w:r w:rsidR="002C34B2">
        <w:rPr>
          <w:lang w:eastAsia="ru-RU"/>
        </w:rPr>
        <w:t>самодопомоги та само турботи при депресії</w:t>
      </w:r>
      <w:r>
        <w:rPr>
          <w:lang w:eastAsia="ru-RU"/>
        </w:rPr>
        <w:t>.</w:t>
      </w:r>
    </w:p>
    <w:p xmlns:wp14="http://schemas.microsoft.com/office/word/2010/wordml" w:rsidR="00C264D3" w:rsidP="00CD1FBA" w:rsidRDefault="00C264D3" w14:paraId="7C2D8B77" wp14:textId="77777777">
      <w:pPr>
        <w:rPr>
          <w:lang w:eastAsia="ru-RU"/>
        </w:rPr>
      </w:pPr>
      <w:r>
        <w:rPr>
          <w:lang w:eastAsia="ru-RU"/>
        </w:rPr>
        <w:t xml:space="preserve">Тема 6. </w:t>
      </w:r>
      <w:r w:rsidR="002C34B2">
        <w:rPr>
          <w:lang w:eastAsia="ru-RU"/>
        </w:rPr>
        <w:t>Практики управління графіком сну та бодьорості</w:t>
      </w:r>
      <w:r>
        <w:rPr>
          <w:lang w:eastAsia="ru-RU"/>
        </w:rPr>
        <w:t>.</w:t>
      </w:r>
    </w:p>
    <w:p xmlns:wp14="http://schemas.microsoft.com/office/word/2010/wordml" w:rsidR="00C264D3" w:rsidP="00CD1FBA" w:rsidRDefault="00C264D3" w14:paraId="7977EB1E" wp14:textId="77777777">
      <w:pPr>
        <w:rPr>
          <w:lang w:eastAsia="ru-RU"/>
        </w:rPr>
      </w:pPr>
      <w:r>
        <w:rPr>
          <w:lang w:eastAsia="ru-RU"/>
        </w:rPr>
        <w:t xml:space="preserve">Тема 7. </w:t>
      </w:r>
      <w:r w:rsidR="002C34B2">
        <w:rPr>
          <w:lang w:eastAsia="ru-RU"/>
        </w:rPr>
        <w:t>Аналіз сучасних напрямів психотерапії</w:t>
      </w:r>
      <w:r>
        <w:rPr>
          <w:lang w:eastAsia="ru-RU"/>
        </w:rPr>
        <w:t>.</w:t>
      </w:r>
    </w:p>
    <w:p xmlns:wp14="http://schemas.microsoft.com/office/word/2010/wordml" w:rsidRPr="00C264D3" w:rsidR="00C264D3" w:rsidP="00CD1FBA" w:rsidRDefault="00C264D3" w14:paraId="6284AF87" wp14:textId="77777777">
      <w:r>
        <w:rPr>
          <w:lang w:eastAsia="ru-RU"/>
        </w:rPr>
        <w:t xml:space="preserve">Тема 8. </w:t>
      </w:r>
      <w:r w:rsidR="002C34B2">
        <w:rPr>
          <w:lang w:eastAsia="ru-RU"/>
        </w:rPr>
        <w:t>Прийоми психологічної допомоги в груповому форматі</w:t>
      </w:r>
      <w:r>
        <w:rPr>
          <w:lang w:eastAsia="ru-RU"/>
        </w:rPr>
        <w:t>.</w:t>
      </w:r>
    </w:p>
    <w:p xmlns:wp14="http://schemas.microsoft.com/office/word/2010/wordml" w:rsidR="00CD1FBA" w:rsidP="00CD1FBA" w:rsidRDefault="00CD1FBA" w14:paraId="4D0E7ECB" wp14:textId="77777777">
      <w:pPr>
        <w:pStyle w:val="3"/>
      </w:pPr>
      <w:r w:rsidRPr="00DB717D">
        <w:t>Теми лабораторних робіт</w:t>
      </w:r>
    </w:p>
    <w:p xmlns:wp14="http://schemas.microsoft.com/office/word/2010/wordml" w:rsidR="00E735F3" w:rsidP="00CD1FBA" w:rsidRDefault="00711E43" w14:paraId="18D76991" wp14:textId="77777777">
      <w:r>
        <w:rPr>
          <w:lang w:val="ru-RU"/>
        </w:rPr>
        <w:t xml:space="preserve">Лабораторні </w:t>
      </w:r>
      <w:r>
        <w:t>роботи в рамках дисципліни не передбачені.</w:t>
      </w:r>
    </w:p>
    <w:p xmlns:wp14="http://schemas.microsoft.com/office/word/2010/wordml" w:rsidRPr="000B3985" w:rsidR="00CD1FBA" w:rsidP="00CD1FBA" w:rsidRDefault="00CD1FBA" w14:paraId="3E0F13AB" wp14:textId="77777777">
      <w:pPr>
        <w:pStyle w:val="3"/>
      </w:pPr>
      <w:r w:rsidRPr="000B3985">
        <w:t>Самостійна робота</w:t>
      </w:r>
    </w:p>
    <w:p xmlns:wp14="http://schemas.microsoft.com/office/word/2010/wordml" w:rsidRPr="00B50677" w:rsidR="00797DFC" w:rsidP="00797DFC" w:rsidRDefault="00797DFC" w14:paraId="0A8A8EA8" wp14:textId="77777777">
      <w:pPr>
        <w:rPr>
          <w:lang w:eastAsia="ru-RU"/>
        </w:rPr>
      </w:pPr>
      <w:r w:rsidRPr="00B50677">
        <w:rPr>
          <w:lang w:eastAsia="ru-RU"/>
        </w:rPr>
        <w:t xml:space="preserve">Самостійна робота студента зводиться до опрацювання лекційного матеріалу, підготовці до </w:t>
      </w:r>
      <w:r w:rsidR="00C264D3">
        <w:rPr>
          <w:lang w:eastAsia="ru-RU"/>
        </w:rPr>
        <w:t xml:space="preserve">практичних </w:t>
      </w:r>
      <w:r w:rsidRPr="00B50677">
        <w:rPr>
          <w:lang w:eastAsia="ru-RU"/>
        </w:rPr>
        <w:t xml:space="preserve">занять, виконання </w:t>
      </w:r>
      <w:r w:rsidR="00C264D3">
        <w:rPr>
          <w:lang w:eastAsia="ru-RU"/>
        </w:rPr>
        <w:t>реферату</w:t>
      </w:r>
      <w:r w:rsidRPr="00B50677">
        <w:rPr>
          <w:lang w:eastAsia="ru-RU"/>
        </w:rPr>
        <w:t>.</w:t>
      </w:r>
    </w:p>
    <w:p xmlns:wp14="http://schemas.microsoft.com/office/word/2010/wordml" w:rsidRPr="002C34B2" w:rsidR="00CD1FBA" w:rsidP="00440511" w:rsidRDefault="00440511" w14:paraId="4C997CC0" wp14:textId="77777777">
      <w:pPr>
        <w:rPr>
          <w:lang w:val="ru-RU" w:eastAsia="ru-RU"/>
        </w:rPr>
      </w:pPr>
      <w:r w:rsidRPr="00440511">
        <w:rPr>
          <w:lang w:eastAsia="ru-RU"/>
        </w:rPr>
        <w:t xml:space="preserve">Студентам </w:t>
      </w:r>
      <w:r w:rsidRPr="00D64BDF">
        <w:rPr>
          <w:lang w:eastAsia="ru-RU"/>
        </w:rPr>
        <w:t>також рекомендуються додаткові матеріали (відео, статті, підручники) для самостійного вивчення та аналізу</w:t>
      </w:r>
      <w:r>
        <w:rPr>
          <w:lang w:eastAsia="ru-RU"/>
        </w:rPr>
        <w:t xml:space="preserve">, підготовки до лекційних, практичних та </w:t>
      </w:r>
      <w:r w:rsidR="00C264D3">
        <w:rPr>
          <w:lang w:eastAsia="ru-RU"/>
        </w:rPr>
        <w:t>практичних</w:t>
      </w:r>
      <w:r>
        <w:rPr>
          <w:lang w:eastAsia="ru-RU"/>
        </w:rPr>
        <w:t xml:space="preserve"> занять</w:t>
      </w:r>
      <w:r w:rsidR="00CD1FBA">
        <w:rPr>
          <w:lang w:eastAsia="ru-RU"/>
        </w:rPr>
        <w:t>.</w:t>
      </w:r>
    </w:p>
    <w:p xmlns:wp14="http://schemas.microsoft.com/office/word/2010/wordml" w:rsidR="00CD1FBA" w:rsidP="00CD1FBA" w:rsidRDefault="00CD1FBA" w14:paraId="7ABE8986" wp14:textId="77777777">
      <w:pPr>
        <w:pStyle w:val="2"/>
      </w:pPr>
      <w:r w:rsidRPr="00A631F1">
        <w:t>Література та навчальні матеріали</w:t>
      </w:r>
    </w:p>
    <w:p xmlns:wp14="http://schemas.microsoft.com/office/word/2010/wordml" w:rsidRPr="00B8363C" w:rsidR="00510B80" w:rsidP="00CD1FBA" w:rsidRDefault="00510B80" w14:paraId="2F19C531" wp14:textId="77777777">
      <w:pPr>
        <w:rPr>
          <w:b/>
        </w:rPr>
      </w:pPr>
      <w:r w:rsidRPr="00B8363C">
        <w:rPr>
          <w:b/>
        </w:rPr>
        <w:t>Основна література</w:t>
      </w:r>
    </w:p>
    <w:p xmlns:wp14="http://schemas.microsoft.com/office/word/2010/wordml" w:rsidRPr="00B8363C" w:rsidR="00C264D3" w:rsidP="00086DCB" w:rsidRDefault="003453B5" w14:paraId="2B30D0CA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  <w:lang w:val="ru-RU"/>
        </w:rPr>
      </w:pPr>
      <w:r w:rsidRPr="00B8363C">
        <w:rPr>
          <w:bCs/>
          <w:sz w:val="24"/>
        </w:rPr>
        <w:t>Климчук В. and Сувало О.</w:t>
      </w:r>
      <w:r w:rsidRPr="00B8363C" w:rsidR="002C34B2">
        <w:rPr>
          <w:bCs/>
          <w:sz w:val="24"/>
        </w:rPr>
        <w:t xml:space="preserve"> Охорона психічного здоров’я у громадах. </w:t>
      </w:r>
      <w:r w:rsidRPr="00B8363C" w:rsidR="002C34B2">
        <w:rPr>
          <w:bCs/>
          <w:iCs/>
          <w:sz w:val="24"/>
        </w:rPr>
        <w:t>Посібник для місц. коорд. органів. В-во: MH4U</w:t>
      </w:r>
      <w:r w:rsidRPr="00B8363C">
        <w:rPr>
          <w:bCs/>
          <w:sz w:val="24"/>
        </w:rPr>
        <w:t xml:space="preserve">. – 2021. – </w:t>
      </w:r>
      <w:r w:rsidRPr="00B8363C" w:rsidR="002C34B2">
        <w:rPr>
          <w:bCs/>
          <w:sz w:val="24"/>
        </w:rPr>
        <w:t>p.31.</w:t>
      </w:r>
    </w:p>
    <w:p xmlns:wp14="http://schemas.microsoft.com/office/word/2010/wordml" w:rsidRPr="00B8363C" w:rsidR="00C264D3" w:rsidP="00086DCB" w:rsidRDefault="002C34B2" w14:paraId="68F5EA41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  <w:lang w:val="ru-RU"/>
        </w:rPr>
      </w:pPr>
      <w:r w:rsidRPr="00B8363C">
        <w:rPr>
          <w:bCs/>
          <w:sz w:val="24"/>
        </w:rPr>
        <w:t>Титаренко</w:t>
      </w:r>
      <w:r w:rsidRPr="00B8363C" w:rsidR="003453B5">
        <w:rPr>
          <w:bCs/>
          <w:sz w:val="24"/>
        </w:rPr>
        <w:t xml:space="preserve"> Т.</w:t>
      </w:r>
      <w:r w:rsidRPr="00B8363C">
        <w:rPr>
          <w:bCs/>
          <w:sz w:val="24"/>
        </w:rPr>
        <w:t>М., Климчук</w:t>
      </w:r>
      <w:r w:rsidRPr="00B8363C" w:rsidR="003453B5">
        <w:rPr>
          <w:bCs/>
          <w:sz w:val="24"/>
        </w:rPr>
        <w:t xml:space="preserve"> В.О., Лазоренко Б.П., Ларіна Т.О., Дворник М.С. Мирончак</w:t>
      </w:r>
      <w:r w:rsidRPr="00B8363C">
        <w:rPr>
          <w:bCs/>
          <w:sz w:val="24"/>
        </w:rPr>
        <w:t xml:space="preserve"> К. В., </w:t>
      </w:r>
      <w:r w:rsidRPr="00B8363C" w:rsidR="003453B5">
        <w:rPr>
          <w:bCs/>
          <w:sz w:val="24"/>
        </w:rPr>
        <w:t>Савінов В.</w:t>
      </w:r>
      <w:r w:rsidRPr="00B8363C">
        <w:rPr>
          <w:bCs/>
          <w:sz w:val="24"/>
        </w:rPr>
        <w:t>В. Соціально-психологічні технології відновлення особистості після травматичних подій: практичний посібник.</w:t>
      </w:r>
      <w:r w:rsidRPr="00B8363C" w:rsidR="003453B5">
        <w:rPr>
          <w:bCs/>
          <w:sz w:val="24"/>
        </w:rPr>
        <w:t xml:space="preserve"> – 2019.</w:t>
      </w:r>
    </w:p>
    <w:p xmlns:wp14="http://schemas.microsoft.com/office/word/2010/wordml" w:rsidRPr="00B8363C" w:rsidR="00C264D3" w:rsidP="00086DCB" w:rsidRDefault="002C34B2" w14:paraId="568EB749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  <w:lang w:val="ru-RU"/>
        </w:rPr>
      </w:pPr>
      <w:r w:rsidRPr="00B8363C">
        <w:t>Тимофієва М.П., Слободська О.В. Психологія здоров’я: Підручник. — Київ: МЕДПРИНТ. — 2022</w:t>
      </w:r>
      <w:r w:rsidRPr="00B8363C" w:rsidR="003453B5">
        <w:t>. –</w:t>
      </w:r>
      <w:r w:rsidRPr="00B8363C">
        <w:t xml:space="preserve"> 600 с.</w:t>
      </w:r>
    </w:p>
    <w:p xmlns:wp14="http://schemas.microsoft.com/office/word/2010/wordml" w:rsidRPr="00B8363C" w:rsidR="00C264D3" w:rsidP="00086DCB" w:rsidRDefault="003453B5" w14:paraId="43BAF271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  <w:lang w:val="ru-RU"/>
        </w:rPr>
      </w:pPr>
      <w:r w:rsidRPr="00B8363C">
        <w:rPr>
          <w:bCs/>
          <w:sz w:val="24"/>
        </w:rPr>
        <w:t xml:space="preserve">Марута, Н.О.,  Юр’єва, Л.М. та ін.. </w:t>
      </w:r>
      <w:r w:rsidRPr="00B8363C">
        <w:rPr>
          <w:bCs/>
          <w:iCs/>
          <w:sz w:val="24"/>
        </w:rPr>
        <w:t>Охорона психічного здоров’я.</w:t>
      </w:r>
      <w:r w:rsidRPr="00B8363C">
        <w:rPr>
          <w:bCs/>
          <w:sz w:val="24"/>
        </w:rPr>
        <w:t> Строков Д. В., Харків. – 2022.</w:t>
      </w:r>
    </w:p>
    <w:p xmlns:wp14="http://schemas.microsoft.com/office/word/2010/wordml" w:rsidRPr="00B8363C" w:rsidR="00C264D3" w:rsidP="00086DCB" w:rsidRDefault="003453B5" w14:paraId="6A554A3A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  <w:lang w:val="en-US"/>
        </w:rPr>
      </w:pPr>
      <w:r w:rsidRPr="00B8363C">
        <w:t>Психічне здоров’я особистості: підручник для вищих навчальних закладів / С.Д. Максименко, Я.В. Руденко, А.М. Кушнєрьова, В.М. Невмержицький. Київ: «Вид</w:t>
      </w:r>
      <w:r w:rsidRPr="00B8363C" w:rsidR="00B8363C">
        <w:t>авництво Людмила». – 2021. – 438 с.</w:t>
      </w:r>
    </w:p>
    <w:p xmlns:wp14="http://schemas.microsoft.com/office/word/2010/wordml" w:rsidRPr="00B8363C" w:rsidR="00C264D3" w:rsidP="00086DCB" w:rsidRDefault="003453B5" w14:paraId="6B339295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</w:rPr>
      </w:pPr>
      <w:r w:rsidRPr="00B8363C">
        <w:t>Карамушка Л. М. Психічне здоров’я особистості під час війни: як його зберегти та підтримати : Метод. рекомендації. Київ: Інститут психології</w:t>
      </w:r>
      <w:r w:rsidRPr="00B8363C" w:rsidR="00B8363C">
        <w:t xml:space="preserve"> імені Г.С.Костюка НАПН України. –</w:t>
      </w:r>
      <w:r w:rsidRPr="00B8363C">
        <w:t xml:space="preserve"> 2022. </w:t>
      </w:r>
      <w:r w:rsidRPr="00B8363C" w:rsidR="00B8363C">
        <w:t xml:space="preserve">– </w:t>
      </w:r>
      <w:r w:rsidRPr="00B8363C">
        <w:t>52 с.</w:t>
      </w:r>
    </w:p>
    <w:p xmlns:wp14="http://schemas.microsoft.com/office/word/2010/wordml" w:rsidRPr="00B8363C" w:rsidR="00FF7C64" w:rsidP="00086DCB" w:rsidRDefault="003453B5" w14:paraId="53875FDA" wp14:textId="77777777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bCs/>
          <w:sz w:val="24"/>
        </w:rPr>
      </w:pPr>
      <w:r w:rsidRPr="00B8363C">
        <w:rPr>
          <w:bCs/>
          <w:sz w:val="24"/>
        </w:rPr>
        <w:t>Powell T. The mental health handbook: A cognitive b</w:t>
      </w:r>
      <w:r w:rsidRPr="00B8363C" w:rsidR="00B8363C">
        <w:rPr>
          <w:bCs/>
          <w:sz w:val="24"/>
        </w:rPr>
        <w:t xml:space="preserve">ehavioural approach. Routledge. – </w:t>
      </w:r>
      <w:r w:rsidRPr="00B8363C">
        <w:rPr>
          <w:bCs/>
          <w:sz w:val="24"/>
        </w:rPr>
        <w:t>2017.</w:t>
      </w:r>
    </w:p>
    <w:p xmlns:wp14="http://schemas.microsoft.com/office/word/2010/wordml" w:rsidRPr="00B8363C" w:rsidR="003453B5" w:rsidP="00B8363C" w:rsidRDefault="003453B5" w14:paraId="44EAFD9C" wp14:textId="77777777">
      <w:pPr>
        <w:ind w:left="284"/>
        <w:jc w:val="both"/>
        <w:rPr>
          <w:bCs/>
          <w:sz w:val="24"/>
        </w:rPr>
      </w:pPr>
    </w:p>
    <w:p xmlns:wp14="http://schemas.microsoft.com/office/word/2010/wordml" w:rsidRPr="00B8363C" w:rsidR="00797DFC" w:rsidP="009D19D0" w:rsidRDefault="00797DFC" w14:paraId="10BAA81C" wp14:textId="77777777">
      <w:pPr>
        <w:rPr>
          <w:b/>
          <w:sz w:val="24"/>
          <w:szCs w:val="24"/>
        </w:rPr>
      </w:pPr>
      <w:r w:rsidRPr="00B8363C">
        <w:rPr>
          <w:b/>
          <w:szCs w:val="28"/>
        </w:rPr>
        <w:t>До</w:t>
      </w:r>
      <w:r w:rsidRPr="00B8363C" w:rsidR="00AC6D69">
        <w:rPr>
          <w:b/>
          <w:szCs w:val="28"/>
        </w:rPr>
        <w:t xml:space="preserve">даткова </w:t>
      </w:r>
      <w:r w:rsidRPr="00B8363C">
        <w:rPr>
          <w:b/>
          <w:szCs w:val="28"/>
        </w:rPr>
        <w:t>література</w:t>
      </w:r>
    </w:p>
    <w:p xmlns:wp14="http://schemas.microsoft.com/office/word/2010/wordml" w:rsidRPr="00B8363C" w:rsidR="00086DCB" w:rsidP="00086DCB" w:rsidRDefault="003453B5" w14:paraId="17E1199D" wp14:textId="77777777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B8363C">
        <w:rPr>
          <w:bCs/>
          <w:sz w:val="24"/>
        </w:rPr>
        <w:t>Pachankis</w:t>
      </w:r>
      <w:r w:rsidRPr="00B8363C" w:rsidR="00B8363C">
        <w:rPr>
          <w:bCs/>
          <w:sz w:val="24"/>
        </w:rPr>
        <w:t xml:space="preserve"> </w:t>
      </w:r>
      <w:r w:rsidRPr="00B8363C">
        <w:rPr>
          <w:bCs/>
          <w:sz w:val="24"/>
        </w:rPr>
        <w:t xml:space="preserve"> J</w:t>
      </w:r>
      <w:r w:rsidRPr="00B8363C" w:rsidR="00B8363C">
        <w:rPr>
          <w:bCs/>
          <w:sz w:val="24"/>
        </w:rPr>
        <w:t>.</w:t>
      </w:r>
      <w:r w:rsidRPr="00B8363C">
        <w:rPr>
          <w:bCs/>
          <w:sz w:val="24"/>
        </w:rPr>
        <w:t>E., and Steven A. Safren, eds. </w:t>
      </w:r>
      <w:r w:rsidRPr="00B8363C">
        <w:rPr>
          <w:bCs/>
          <w:iCs/>
          <w:sz w:val="24"/>
        </w:rPr>
        <w:t>Handbook of evidence-based mental health practice with sexual and gender minorities</w:t>
      </w:r>
      <w:r w:rsidRPr="00B8363C" w:rsidR="00B8363C">
        <w:rPr>
          <w:bCs/>
          <w:sz w:val="24"/>
        </w:rPr>
        <w:t>. Oxford University Press, USA</w:t>
      </w:r>
      <w:r w:rsidRPr="00B8363C" w:rsidR="00B8363C">
        <w:rPr>
          <w:bCs/>
          <w:sz w:val="24"/>
          <w:lang w:val="en-US"/>
        </w:rPr>
        <w:t>. –</w:t>
      </w:r>
      <w:r w:rsidRPr="00B8363C">
        <w:rPr>
          <w:bCs/>
          <w:sz w:val="24"/>
        </w:rPr>
        <w:t xml:space="preserve"> 2019.</w:t>
      </w:r>
    </w:p>
    <w:p xmlns:wp14="http://schemas.microsoft.com/office/word/2010/wordml" w:rsidRPr="00B8363C" w:rsidR="00086DCB" w:rsidP="00086DCB" w:rsidRDefault="003453B5" w14:paraId="02C880E1" wp14:textId="77777777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B8363C">
        <w:rPr>
          <w:bCs/>
          <w:sz w:val="24"/>
        </w:rPr>
        <w:t>Bateman, Anthony W., and Peter Fonagy, eds. </w:t>
      </w:r>
      <w:r w:rsidRPr="00B8363C">
        <w:rPr>
          <w:bCs/>
          <w:iCs/>
          <w:sz w:val="24"/>
        </w:rPr>
        <w:t>Handbook of mentalizing in mental health practice</w:t>
      </w:r>
      <w:r w:rsidRPr="00B8363C">
        <w:rPr>
          <w:bCs/>
          <w:sz w:val="24"/>
        </w:rPr>
        <w:t>. American Psychiatric Pub</w:t>
      </w:r>
      <w:r w:rsidRPr="00B8363C" w:rsidR="00B8363C">
        <w:rPr>
          <w:bCs/>
          <w:sz w:val="24"/>
          <w:lang w:val="en-US"/>
        </w:rPr>
        <w:t>. –</w:t>
      </w:r>
      <w:r w:rsidRPr="00B8363C" w:rsidR="00B8363C">
        <w:rPr>
          <w:bCs/>
          <w:sz w:val="24"/>
        </w:rPr>
        <w:t xml:space="preserve"> </w:t>
      </w:r>
      <w:r w:rsidRPr="00B8363C">
        <w:rPr>
          <w:bCs/>
          <w:sz w:val="24"/>
        </w:rPr>
        <w:t>2019.</w:t>
      </w:r>
    </w:p>
    <w:p xmlns:wp14="http://schemas.microsoft.com/office/word/2010/wordml" w:rsidRPr="00B8363C" w:rsidR="002B55A3" w:rsidP="00086DCB" w:rsidRDefault="003453B5" w14:paraId="60137518" wp14:textId="77777777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B8363C">
        <w:rPr>
          <w:bCs/>
          <w:sz w:val="24"/>
        </w:rPr>
        <w:t>Akhtar, Nosheen, et al. </w:t>
      </w:r>
      <w:r w:rsidRPr="00B8363C">
        <w:rPr>
          <w:bCs/>
          <w:iCs/>
          <w:sz w:val="24"/>
        </w:rPr>
        <w:t>Handbook of person-centered mental health care</w:t>
      </w:r>
      <w:r w:rsidRPr="00B8363C">
        <w:rPr>
          <w:bCs/>
          <w:sz w:val="24"/>
        </w:rPr>
        <w:t>. Hogrefe Publishing GmbH</w:t>
      </w:r>
      <w:r w:rsidRPr="00B8363C" w:rsidR="00B8363C">
        <w:rPr>
          <w:bCs/>
          <w:sz w:val="24"/>
          <w:lang w:val="en-US"/>
        </w:rPr>
        <w:t>. –</w:t>
      </w:r>
      <w:r w:rsidRPr="00B8363C" w:rsidR="00B8363C">
        <w:rPr>
          <w:bCs/>
          <w:sz w:val="24"/>
        </w:rPr>
        <w:t xml:space="preserve"> </w:t>
      </w:r>
      <w:r w:rsidRPr="00B8363C">
        <w:rPr>
          <w:bCs/>
          <w:sz w:val="24"/>
        </w:rPr>
        <w:t>2020.</w:t>
      </w:r>
    </w:p>
    <w:p xmlns:wp14="http://schemas.microsoft.com/office/word/2010/wordml" w:rsidRPr="00B8363C" w:rsidR="00086DCB" w:rsidP="00086DCB" w:rsidRDefault="003453B5" w14:paraId="5ED0DEFB" wp14:textId="77777777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B8363C">
        <w:rPr>
          <w:bCs/>
          <w:sz w:val="24"/>
        </w:rPr>
        <w:t>Ekkekakis, Panteleimon, ed. </w:t>
      </w:r>
      <w:r w:rsidRPr="00B8363C">
        <w:rPr>
          <w:bCs/>
          <w:iCs/>
          <w:sz w:val="24"/>
        </w:rPr>
        <w:t>Routledge handbook of physical activity and mental health</w:t>
      </w:r>
      <w:r w:rsidRPr="00B8363C">
        <w:rPr>
          <w:bCs/>
          <w:sz w:val="24"/>
        </w:rPr>
        <w:t>. Taylor &amp; Francis</w:t>
      </w:r>
      <w:r w:rsidRPr="00B8363C" w:rsidR="00B8363C">
        <w:rPr>
          <w:bCs/>
          <w:sz w:val="24"/>
          <w:lang w:val="en-US"/>
        </w:rPr>
        <w:t>. –</w:t>
      </w:r>
      <w:r w:rsidRPr="00B8363C" w:rsidR="00B8363C">
        <w:rPr>
          <w:bCs/>
          <w:sz w:val="24"/>
        </w:rPr>
        <w:t xml:space="preserve"> </w:t>
      </w:r>
      <w:r w:rsidRPr="00B8363C">
        <w:rPr>
          <w:bCs/>
          <w:sz w:val="24"/>
        </w:rPr>
        <w:t>2023.</w:t>
      </w:r>
    </w:p>
    <w:p xmlns:wp14="http://schemas.microsoft.com/office/word/2010/wordml" w:rsidRPr="00B8363C" w:rsidR="003453B5" w:rsidP="00086DCB" w:rsidRDefault="00B8363C" w14:paraId="20C3965B" wp14:textId="77777777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B8363C">
        <w:rPr>
          <w:bCs/>
          <w:sz w:val="24"/>
        </w:rPr>
        <w:t xml:space="preserve">Martin, Terry L. </w:t>
      </w:r>
      <w:r w:rsidRPr="00B8363C" w:rsidR="003453B5">
        <w:rPr>
          <w:bCs/>
          <w:sz w:val="24"/>
        </w:rPr>
        <w:t>Worden, JW (2018). Grief Counseling and Grief Therapy. A Handbook for the Mental Health Practitioner</w:t>
      </w:r>
      <w:r w:rsidRPr="00B8363C">
        <w:rPr>
          <w:bCs/>
          <w:sz w:val="24"/>
          <w:lang w:val="en-US"/>
        </w:rPr>
        <w:t>. –</w:t>
      </w:r>
      <w:r w:rsidRPr="00B8363C">
        <w:rPr>
          <w:bCs/>
          <w:sz w:val="24"/>
        </w:rPr>
        <w:t xml:space="preserve"> </w:t>
      </w:r>
      <w:r w:rsidRPr="00B8363C" w:rsidR="003453B5">
        <w:rPr>
          <w:bCs/>
          <w:sz w:val="24"/>
        </w:rPr>
        <w:t>2019</w:t>
      </w:r>
      <w:r w:rsidRPr="00B8363C">
        <w:rPr>
          <w:bCs/>
          <w:sz w:val="24"/>
          <w:lang w:val="en-US"/>
        </w:rPr>
        <w:t>. –</w:t>
      </w:r>
      <w:r w:rsidRPr="00B8363C">
        <w:rPr>
          <w:bCs/>
          <w:sz w:val="24"/>
        </w:rPr>
        <w:t xml:space="preserve"> </w:t>
      </w:r>
      <w:r w:rsidRPr="00B8363C">
        <w:rPr>
          <w:bCs/>
          <w:sz w:val="24"/>
          <w:lang w:val="en-US"/>
        </w:rPr>
        <w:t xml:space="preserve">Pp. </w:t>
      </w:r>
      <w:r w:rsidRPr="00B8363C" w:rsidR="003453B5">
        <w:rPr>
          <w:bCs/>
          <w:sz w:val="24"/>
        </w:rPr>
        <w:t xml:space="preserve">331-334. </w:t>
      </w:r>
    </w:p>
    <w:p xmlns:wp14="http://schemas.microsoft.com/office/word/2010/wordml" w:rsidRPr="00B8363C" w:rsidR="00086DCB" w:rsidP="00086DCB" w:rsidRDefault="003453B5" w14:paraId="2932032D" wp14:textId="77777777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B8363C">
        <w:rPr>
          <w:bCs/>
          <w:sz w:val="24"/>
        </w:rPr>
        <w:t>Erasmus, Clare. </w:t>
      </w:r>
      <w:r w:rsidRPr="00B8363C">
        <w:rPr>
          <w:bCs/>
          <w:iCs/>
          <w:sz w:val="24"/>
        </w:rPr>
        <w:t>The mental health and Wellbeing handbook for schools: transforming mental health support on a budget</w:t>
      </w:r>
      <w:r w:rsidRPr="00B8363C">
        <w:rPr>
          <w:bCs/>
          <w:sz w:val="24"/>
        </w:rPr>
        <w:t>. Jessica Kingsley Publishers</w:t>
      </w:r>
      <w:r w:rsidRPr="00B8363C" w:rsidR="00B8363C">
        <w:rPr>
          <w:bCs/>
          <w:sz w:val="24"/>
          <w:lang w:val="en-US"/>
        </w:rPr>
        <w:t>. –</w:t>
      </w:r>
      <w:r w:rsidRPr="00B8363C" w:rsidR="00B8363C">
        <w:rPr>
          <w:bCs/>
          <w:sz w:val="24"/>
        </w:rPr>
        <w:t xml:space="preserve"> </w:t>
      </w:r>
      <w:r w:rsidRPr="00B8363C">
        <w:rPr>
          <w:bCs/>
          <w:sz w:val="24"/>
        </w:rPr>
        <w:t>2019.</w:t>
      </w:r>
    </w:p>
    <w:p xmlns:wp14="http://schemas.microsoft.com/office/word/2010/wordml" w:rsidRPr="00B8363C" w:rsidR="00CD1FBA" w:rsidP="00086DCB" w:rsidRDefault="003453B5" w14:paraId="72B4DAC9" wp14:textId="77777777">
      <w:pPr>
        <w:pStyle w:val="ad"/>
        <w:numPr>
          <w:ilvl w:val="0"/>
          <w:numId w:val="2"/>
        </w:numPr>
        <w:tabs>
          <w:tab w:val="clear" w:pos="720"/>
          <w:tab w:val="num" w:pos="-142"/>
        </w:tabs>
        <w:ind w:left="0" w:firstLine="284"/>
        <w:rPr>
          <w:bCs/>
          <w:sz w:val="24"/>
          <w:lang w:val="en-US"/>
        </w:rPr>
      </w:pPr>
      <w:r w:rsidRPr="00B8363C">
        <w:rPr>
          <w:bCs/>
          <w:sz w:val="24"/>
        </w:rPr>
        <w:t>Chiao, Joan Y., Shu Chen Li, Robert Turner, Su Yeon Lee-Tauler, and Beverly Pringle, eds. </w:t>
      </w:r>
      <w:r w:rsidRPr="00B8363C">
        <w:rPr>
          <w:bCs/>
          <w:iCs/>
          <w:sz w:val="24"/>
        </w:rPr>
        <w:t>The Oxford Handbook of Cultural Neuroscience and Global Mental Health</w:t>
      </w:r>
      <w:r w:rsidRPr="00B8363C">
        <w:rPr>
          <w:bCs/>
          <w:sz w:val="24"/>
        </w:rPr>
        <w:t>. Oxford University Press</w:t>
      </w:r>
      <w:r w:rsidRPr="00B8363C" w:rsidR="00B8363C">
        <w:rPr>
          <w:bCs/>
          <w:sz w:val="24"/>
          <w:lang w:val="en-US"/>
        </w:rPr>
        <w:t>. –</w:t>
      </w:r>
      <w:r w:rsidRPr="00B8363C" w:rsidR="00B8363C">
        <w:rPr>
          <w:bCs/>
          <w:sz w:val="24"/>
        </w:rPr>
        <w:t xml:space="preserve"> </w:t>
      </w:r>
      <w:r w:rsidRPr="00B8363C">
        <w:rPr>
          <w:bCs/>
          <w:sz w:val="24"/>
        </w:rPr>
        <w:t>2022.</w:t>
      </w:r>
    </w:p>
    <w:p xmlns:wp14="http://schemas.microsoft.com/office/word/2010/wordml" w:rsidR="00CD1FBA" w:rsidP="00CD1FBA" w:rsidRDefault="00CD1FBA" w14:paraId="226BB062" wp14:textId="77777777">
      <w:pPr>
        <w:pStyle w:val="2"/>
      </w:pPr>
      <w:r w:rsidRPr="000B3985">
        <w:t>Система</w:t>
      </w:r>
      <w:r w:rsidR="00A227BA">
        <w:t xml:space="preserve"> </w:t>
      </w:r>
      <w:r w:rsidRPr="000B3985">
        <w:t>оцінювання</w:t>
      </w:r>
    </w:p>
    <w:tbl>
      <w:tblPr>
        <w:tblW w:w="9923" w:type="dxa"/>
        <w:tblCellMar>
          <w:left w:w="0" w:type="dxa"/>
          <w:right w:w="198" w:type="dxa"/>
        </w:tblCellMar>
        <w:tblLook w:val="00A0"/>
      </w:tblPr>
      <w:tblGrid>
        <w:gridCol w:w="5314"/>
        <w:gridCol w:w="4609"/>
      </w:tblGrid>
      <w:tr xmlns:wp14="http://schemas.microsoft.com/office/word/2010/wordml" w:rsidRPr="00F55CBF" w:rsidR="00CD1FBA" w:rsidTr="00DC3F5B" w14:paraId="2B6876A7" wp14:textId="77777777">
        <w:tc>
          <w:tcPr>
            <w:tcW w:w="5387" w:type="dxa"/>
          </w:tcPr>
          <w:p w:rsidRPr="00F55CBF" w:rsidR="00CD1FBA" w:rsidP="00DC3F5B" w:rsidRDefault="00CD1FBA" w14:paraId="769AD52E" wp14:textId="77777777">
            <w:pPr>
              <w:pStyle w:val="3"/>
            </w:pPr>
            <w:r w:rsidRPr="00F55CBF">
              <w:t xml:space="preserve">Критерії оцінювання успішності студента </w:t>
            </w:r>
            <w:r w:rsidRPr="00F55CBF">
              <w:br/>
            </w:r>
            <w:r w:rsidRPr="00F55CBF">
              <w:t>та розподіл балів</w:t>
            </w:r>
          </w:p>
          <w:p w:rsidRPr="00333759" w:rsidR="00440511" w:rsidP="00440511" w:rsidRDefault="00440511" w14:paraId="2318739C" wp14:textId="77777777">
            <w:r w:rsidRPr="00333759">
              <w:t>100% підсумкової оцінки складаються з результатів оцінювання у вигляді екзамену (</w:t>
            </w:r>
            <w:r>
              <w:t>2</w:t>
            </w:r>
            <w:r w:rsidRPr="00333759">
              <w:t>0%) та поточного оцінювання (</w:t>
            </w:r>
            <w:r>
              <w:t>8</w:t>
            </w:r>
            <w:r w:rsidRPr="00333759">
              <w:t xml:space="preserve">0%). </w:t>
            </w:r>
          </w:p>
          <w:p w:rsidRPr="00333759" w:rsidR="00440511" w:rsidP="00440511" w:rsidRDefault="00440511" w14:paraId="25AD88AB" wp14:textId="77777777">
            <w:r w:rsidRPr="00333759">
              <w:t>Екзамен: письмове завдання (</w:t>
            </w:r>
            <w:r w:rsidR="00C264D3">
              <w:t>1</w:t>
            </w:r>
            <w:r w:rsidRPr="00333759">
              <w:t xml:space="preserve"> запитання з теорії + </w:t>
            </w:r>
            <w:r w:rsidR="00C264D3">
              <w:t>кейс</w:t>
            </w:r>
            <w:r w:rsidRPr="00333759">
              <w:t xml:space="preserve">) та усна доповідь. </w:t>
            </w:r>
          </w:p>
          <w:p w:rsidRPr="00F55CBF" w:rsidR="00CD1FBA" w:rsidP="00C264D3" w:rsidRDefault="00440511" w14:paraId="0E358EDC" wp14:textId="77777777">
            <w:pPr>
              <w:rPr>
                <w:lang w:eastAsia="ru-RU"/>
              </w:rPr>
            </w:pPr>
            <w:r w:rsidRPr="00333759">
              <w:t xml:space="preserve">Поточне оцінювання: </w:t>
            </w:r>
            <w:r w:rsidR="00C264D3">
              <w:t>виконання домашніх завдань</w:t>
            </w:r>
            <w:r w:rsidRPr="00333759">
              <w:t>(</w:t>
            </w:r>
            <w:r w:rsidR="00C264D3">
              <w:t>3</w:t>
            </w:r>
            <w:r w:rsidR="00835CFD">
              <w:t>0</w:t>
            </w:r>
            <w:r w:rsidRPr="00333759">
              <w:t xml:space="preserve">%), </w:t>
            </w:r>
            <w:r w:rsidR="00C264D3">
              <w:t>та участь у практичних заняттях (30%) та</w:t>
            </w:r>
            <w:r w:rsidRPr="00333759">
              <w:t xml:space="preserve"> </w:t>
            </w:r>
            <w:r w:rsidR="00C264D3">
              <w:t>реферат</w:t>
            </w:r>
            <w:r w:rsidRPr="00333759">
              <w:t xml:space="preserve"> (</w:t>
            </w:r>
            <w:r w:rsidR="00C264D3">
              <w:t>2</w:t>
            </w:r>
            <w:r w:rsidR="00835CFD">
              <w:t>0</w:t>
            </w:r>
            <w:r w:rsidRPr="00333759">
              <w:t>%</w:t>
            </w:r>
            <w:r>
              <w:t>)</w:t>
            </w:r>
          </w:p>
        </w:tc>
        <w:tc>
          <w:tcPr>
            <w:tcW w:w="4536" w:type="dxa"/>
          </w:tcPr>
          <w:p w:rsidRPr="00F55CBF" w:rsidR="00CD1FBA" w:rsidP="00DC3F5B" w:rsidRDefault="00CD1FBA" w14:paraId="6221366F" wp14:textId="77777777">
            <w:pPr>
              <w:pStyle w:val="3"/>
            </w:pPr>
            <w:r w:rsidRPr="00F55CBF">
              <w:t xml:space="preserve">Шкала оцінювання </w:t>
            </w:r>
          </w:p>
          <w:tbl>
            <w:tblPr>
              <w:tblW w:w="4411" w:type="dxa"/>
              <w:tblBorders>
                <w:insideH w:val="single" w:color="auto" w:sz="4" w:space="0"/>
              </w:tblBorders>
              <w:tblLook w:val="00A0"/>
            </w:tblPr>
            <w:tblGrid>
              <w:gridCol w:w="1069"/>
              <w:gridCol w:w="2738"/>
              <w:gridCol w:w="604"/>
            </w:tblGrid>
            <w:tr w:rsidRPr="00F55CBF" w:rsidR="00CD1FBA" w:rsidTr="00DC3F5B" w14:paraId="3D649B8B" wp14:textId="77777777">
              <w:tc>
                <w:tcPr>
                  <w:tcW w:w="1069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2E433958" wp14:textId="77777777">
                  <w:pPr>
                    <w:pStyle w:val="4"/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1B372DC7" wp14:textId="77777777">
                  <w:pPr>
                    <w:pStyle w:val="4"/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Національна</w:t>
                  </w:r>
                  <w:r w:rsidRPr="00F55CBF">
                    <w:rPr>
                      <w:lang w:val="en-US" w:eastAsia="ru-RU"/>
                    </w:rPr>
                    <w:t xml:space="preserve"> </w:t>
                  </w:r>
                  <w:r w:rsidRPr="00F55CBF">
                    <w:rPr>
                      <w:lang w:eastAsia="ru-RU"/>
                    </w:rPr>
                    <w:t>оцінка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3925AF48" wp14:textId="77777777">
                  <w:pPr>
                    <w:pStyle w:val="4"/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ECTS</w:t>
                  </w:r>
                </w:p>
              </w:tc>
            </w:tr>
            <w:tr w:rsidRPr="00F55CBF" w:rsidR="00CD1FBA" w:rsidTr="00DC3F5B" w14:paraId="037BE907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0AC60315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68066D2F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5316D17B" wp14:textId="77777777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A</w:t>
                  </w:r>
                </w:p>
              </w:tc>
            </w:tr>
            <w:tr w:rsidRPr="00F55CBF" w:rsidR="00CD1FBA" w:rsidTr="00DC3F5B" w14:paraId="08C82120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6CDD357D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35E57D80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61ED4E73" wp14:textId="77777777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B</w:t>
                  </w:r>
                </w:p>
              </w:tc>
            </w:tr>
            <w:tr w:rsidRPr="00F55CBF" w:rsidR="00CD1FBA" w:rsidTr="00DC3F5B" w14:paraId="48CA3FAF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5F0A697D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5D4A8455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37AAF844" wp14:textId="77777777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C</w:t>
                  </w:r>
                </w:p>
              </w:tc>
            </w:tr>
            <w:tr w:rsidRPr="00F55CBF" w:rsidR="00CD1FBA" w:rsidTr="00DC3F5B" w14:paraId="774C24A8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752BFE20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03D93603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61740529" wp14:textId="77777777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D</w:t>
                  </w:r>
                </w:p>
              </w:tc>
            </w:tr>
            <w:tr w:rsidRPr="00F55CBF" w:rsidR="00CD1FBA" w:rsidTr="00DC3F5B" w14:paraId="37EEB67D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1B327ABF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3575F849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65AEDD99" wp14:textId="77777777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E</w:t>
                  </w:r>
                </w:p>
              </w:tc>
            </w:tr>
            <w:tr w:rsidRPr="00F55CBF" w:rsidR="00CD1FBA" w:rsidTr="00DC3F5B" w14:paraId="786417AB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5353AE84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43F08D73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 xml:space="preserve">Незадовільно </w:t>
                  </w:r>
                  <w:r w:rsidRPr="00F55CBF">
                    <w:rPr>
                      <w:lang w:eastAsia="ru-RU"/>
                    </w:rPr>
                    <w:br/>
                  </w:r>
                  <w:r w:rsidRPr="00F55CBF">
                    <w:rPr>
                      <w:lang w:eastAsia="ru-RU"/>
                    </w:rPr>
                    <w:t>(потрібне додаткове вивчення)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473770C9" wp14:textId="77777777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FX</w:t>
                  </w:r>
                </w:p>
              </w:tc>
            </w:tr>
            <w:tr w:rsidRPr="00F55CBF" w:rsidR="00CD1FBA" w:rsidTr="00DC3F5B" w14:paraId="344DDC16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1043E4D0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583DD1EF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Незадовільно</w:t>
                  </w:r>
                </w:p>
                <w:p w:rsidRPr="00F55CBF" w:rsidR="00CD1FBA" w:rsidP="00DC3F5B" w:rsidRDefault="00CD1FBA" w14:paraId="316B9AF7" wp14:textId="77777777">
                  <w:pPr>
                    <w:rPr>
                      <w:lang w:eastAsia="ru-RU"/>
                    </w:rPr>
                  </w:pPr>
                  <w:r w:rsidRPr="00F55CBF">
                    <w:rPr>
                      <w:lang w:eastAsia="ru-RU"/>
                    </w:rPr>
                    <w:t>(потрібне повторне вивчення)</w:t>
                  </w:r>
                </w:p>
                <w:p w:rsidRPr="00F55CBF" w:rsidR="00CD1FBA" w:rsidP="00DC3F5B" w:rsidRDefault="00CD1FBA" w14:paraId="4B94D5A5" wp14:textId="77777777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F55CBF" w:rsidR="00CD1FBA" w:rsidP="00DC3F5B" w:rsidRDefault="00CD1FBA" w14:paraId="632692EA" wp14:textId="77777777">
                  <w:pPr>
                    <w:rPr>
                      <w:lang w:val="en-US" w:eastAsia="ru-RU"/>
                    </w:rPr>
                  </w:pPr>
                  <w:r w:rsidRPr="00F55CBF"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:rsidRPr="00F55CBF" w:rsidR="00CD1FBA" w:rsidP="00DC3F5B" w:rsidRDefault="00CD1FBA" w14:paraId="3DEEC669" wp14:textId="77777777">
            <w:pPr>
              <w:rPr>
                <w:lang w:eastAsia="ru-RU"/>
              </w:rPr>
            </w:pPr>
          </w:p>
        </w:tc>
      </w:tr>
    </w:tbl>
    <w:p xmlns:wp14="http://schemas.microsoft.com/office/word/2010/wordml" w:rsidR="00CD1FBA" w:rsidP="00CD1FBA" w:rsidRDefault="00CD1FBA" w14:paraId="7042FDAE" wp14:textId="77777777">
      <w:pPr>
        <w:pStyle w:val="2"/>
      </w:pPr>
      <w:r w:rsidRPr="0075767F">
        <w:t>Норми академічної</w:t>
      </w:r>
      <w:r w:rsidR="00A227BA">
        <w:t xml:space="preserve"> </w:t>
      </w:r>
      <w:r w:rsidRPr="0075767F">
        <w:t>етики і політик</w:t>
      </w:r>
      <w:r>
        <w:t>а</w:t>
      </w:r>
      <w:r w:rsidRPr="0075767F">
        <w:t xml:space="preserve"> курсу</w:t>
      </w:r>
    </w:p>
    <w:p xmlns:wp14="http://schemas.microsoft.com/office/word/2010/wordml" w:rsidR="00CD1FBA" w:rsidP="00CD1FBA" w:rsidRDefault="00CD1FBA" w14:paraId="20FE305E" wp14:textId="77777777">
      <w:r>
        <w:t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неможливості вирішення конфлікту – доводитися до відома співробітників дирекції інституту.</w:t>
      </w:r>
    </w:p>
    <w:p xmlns:wp14="http://schemas.microsoft.com/office/word/2010/wordml" w:rsidR="00CD1FBA" w:rsidP="00CD1FBA" w:rsidRDefault="00CD1FBA" w14:paraId="585D42E1" wp14:textId="77777777">
      <w:r w:rsidRPr="004202CC">
        <w:t xml:space="preserve">Нормативно-правове забезпечення впровадження принципів академічної доброчесності </w:t>
      </w:r>
      <w:r>
        <w:t xml:space="preserve">НТУ «ХПІ» </w:t>
      </w:r>
      <w:r w:rsidRPr="004202CC">
        <w:t>розміщен</w:t>
      </w:r>
      <w:r>
        <w:t xml:space="preserve">о на сайті: </w:t>
      </w:r>
      <w:hyperlink w:history="1" r:id="rId12">
        <w:r w:rsidRPr="00E2118C">
          <w:rPr>
            <w:rStyle w:val="a3"/>
          </w:rPr>
          <w:t>http://blogs.kpi.kharkov.ua/v2/nv/akademichna-dobrochesnist/</w:t>
        </w:r>
      </w:hyperlink>
      <w:r>
        <w:t xml:space="preserve"> </w:t>
      </w:r>
    </w:p>
    <w:p xmlns:wp14="http://schemas.microsoft.com/office/word/2010/wordml" w:rsidR="00CD1FBA" w:rsidP="00CD1FBA" w:rsidRDefault="00CD1FBA" w14:paraId="04E6272B" wp14:textId="77777777">
      <w:pPr>
        <w:pStyle w:val="2"/>
      </w:pPr>
      <w:r w:rsidRPr="00B14439">
        <w:t>Погодження</w:t>
      </w:r>
    </w:p>
    <w:tbl>
      <w:tblPr>
        <w:tblW w:w="5000" w:type="pct"/>
        <w:tblCellMar>
          <w:bottom w:w="340" w:type="dxa"/>
        </w:tblCellMar>
        <w:tblLook w:val="00A0"/>
      </w:tblPr>
      <w:tblGrid>
        <w:gridCol w:w="3487"/>
        <w:gridCol w:w="3487"/>
        <w:gridCol w:w="3163"/>
      </w:tblGrid>
      <w:tr xmlns:wp14="http://schemas.microsoft.com/office/word/2010/wordml" w:rsidRPr="00F55CBF" w:rsidR="00CD1FBA" w:rsidTr="00DC3F5B" w14:paraId="4E8E2207" wp14:textId="77777777">
        <w:tc>
          <w:tcPr>
            <w:tcW w:w="1720" w:type="pct"/>
          </w:tcPr>
          <w:p w:rsidRPr="00F55CBF" w:rsidR="00CD1FBA" w:rsidP="00DC3F5B" w:rsidRDefault="00CD1FBA" w14:paraId="4138EE18" wp14:textId="77777777">
            <w:r w:rsidRPr="00F55CBF">
              <w:t>Силабус погоджено</w:t>
            </w:r>
          </w:p>
        </w:tc>
        <w:tc>
          <w:tcPr>
            <w:tcW w:w="1720" w:type="pct"/>
          </w:tcPr>
          <w:p w:rsidRPr="00F55CBF" w:rsidR="00CD1FBA" w:rsidP="00DC3F5B" w:rsidRDefault="00CD1FBA" w14:paraId="709812EA" wp14:textId="77777777">
            <w:r w:rsidRPr="00F55CBF">
              <w:t>Дата погодження, підпис</w:t>
            </w:r>
          </w:p>
          <w:p w:rsidRPr="00F55CBF" w:rsidR="00CD1FBA" w:rsidP="00DC3F5B" w:rsidRDefault="00CD1FBA" w14:paraId="3656B9AB" wp14:textId="77777777"/>
        </w:tc>
        <w:tc>
          <w:tcPr>
            <w:tcW w:w="1560" w:type="pct"/>
          </w:tcPr>
          <w:p w:rsidRPr="00F55CBF" w:rsidR="00CD1FBA" w:rsidP="00DC3F5B" w:rsidRDefault="00CD1FBA" w14:paraId="5620DE2B" wp14:textId="77777777">
            <w:pPr>
              <w:pStyle w:val="4"/>
            </w:pPr>
            <w:r w:rsidRPr="00F55CBF">
              <w:t>Завідувач кафедри</w:t>
            </w:r>
          </w:p>
          <w:p w:rsidRPr="00F55CBF" w:rsidR="00CD1FBA" w:rsidP="00994759" w:rsidRDefault="00312499" w14:paraId="51C806D7" wp14:textId="77777777">
            <w:r w:rsidRPr="00333759">
              <w:t xml:space="preserve">Олександр </w:t>
            </w:r>
            <w:r w:rsidR="00994759">
              <w:t>РОМАНОВСЬКИЙ</w:t>
            </w:r>
          </w:p>
        </w:tc>
      </w:tr>
      <w:tr xmlns:wp14="http://schemas.microsoft.com/office/word/2010/wordml" w:rsidRPr="00F55CBF" w:rsidR="00CD1FBA" w:rsidTr="00DC3F5B" w14:paraId="7515DD62" wp14:textId="77777777">
        <w:tc>
          <w:tcPr>
            <w:tcW w:w="1720" w:type="pct"/>
          </w:tcPr>
          <w:p w:rsidRPr="00F55CBF" w:rsidR="00CD1FBA" w:rsidP="00DC3F5B" w:rsidRDefault="00CD1FBA" w14:paraId="45FB0818" wp14:textId="77777777"/>
        </w:tc>
        <w:tc>
          <w:tcPr>
            <w:tcW w:w="1720" w:type="pct"/>
          </w:tcPr>
          <w:p w:rsidRPr="00F55CBF" w:rsidR="00CD1FBA" w:rsidP="00DC3F5B" w:rsidRDefault="00CD1FBA" w14:paraId="12C02CA3" wp14:textId="77777777">
            <w:r w:rsidRPr="00F55CBF">
              <w:t>Дата погодження, підпис</w:t>
            </w:r>
          </w:p>
          <w:p w:rsidRPr="00F55CBF" w:rsidR="00CD1FBA" w:rsidP="00DC3F5B" w:rsidRDefault="00CD1FBA" w14:paraId="049F31CB" wp14:textId="77777777"/>
        </w:tc>
        <w:tc>
          <w:tcPr>
            <w:tcW w:w="1560" w:type="pct"/>
          </w:tcPr>
          <w:p w:rsidRPr="00F55CBF" w:rsidR="00CD1FBA" w:rsidP="00DC3F5B" w:rsidRDefault="00CD1FBA" w14:paraId="224BABB9" wp14:textId="77777777">
            <w:pPr>
              <w:pStyle w:val="4"/>
            </w:pPr>
            <w:r w:rsidRPr="00F55CBF">
              <w:t>Гарант ОП</w:t>
            </w:r>
          </w:p>
          <w:p w:rsidRPr="00F55CBF" w:rsidR="00CD1FBA" w:rsidP="00994759" w:rsidRDefault="00994759" w14:paraId="76FD1F38" wp14:textId="77777777">
            <w:r>
              <w:t>Анастасія</w:t>
            </w:r>
            <w:r w:rsidRPr="00312499" w:rsidR="00312499">
              <w:t xml:space="preserve"> </w:t>
            </w:r>
            <w:r>
              <w:t>КНИШ</w:t>
            </w:r>
          </w:p>
        </w:tc>
      </w:tr>
    </w:tbl>
    <w:p xmlns:wp14="http://schemas.microsoft.com/office/word/2010/wordml" w:rsidRPr="005232A7" w:rsidR="00CD1FBA" w:rsidP="00CD1FBA" w:rsidRDefault="00CD1FBA" w14:paraId="53128261" wp14:textId="77777777">
      <w:pPr>
        <w:rPr>
          <w:lang w:val="en-US"/>
        </w:rPr>
      </w:pPr>
    </w:p>
    <w:sectPr w:rsidRPr="005232A7" w:rsidR="00CD1FBA" w:rsidSect="00DC3F5B">
      <w:footerReference w:type="default" r:id="rId13"/>
      <w:pgSz w:w="11906" w:h="16838" w:orient="portrait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F5074E" w:rsidRDefault="00F5074E" w14:paraId="62486C05" wp14:textId="77777777">
      <w:r>
        <w:separator/>
      </w:r>
    </w:p>
  </w:endnote>
  <w:endnote w:type="continuationSeparator" w:id="1">
    <w:p xmlns:wp14="http://schemas.microsoft.com/office/word/2010/wordml" w:rsidR="00F5074E" w:rsidRDefault="00F5074E" w14:paraId="4101652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712F48" w:rsidP="00DC3F5B" w:rsidRDefault="00513008" w14:paraId="248C4C61" wp14:textId="77777777">
    <w:pPr>
      <w:pStyle w:val="a4"/>
      <w:jc w:val="right"/>
    </w:pPr>
    <w:r>
      <w:rPr>
        <w:noProof/>
        <w:lang w:val="ru-RU" w:eastAsia="ru-RU"/>
      </w:rPr>
      <w:pict w14:anchorId="5F98CB80">
        <v:shapetype id="_x0000_t202" coordsize="21600,21600" o:spt="202" path="m,l,21600r21600,l21600,xe">
          <v:stroke joinstyle="miter"/>
          <v:path gradientshapeok="t" o:connecttype="rect"/>
        </v:shapetype>
        <v:shape id="Text Box 10" style="position:absolute;left:0;text-align:left;margin-left:-6.45pt;margin-top:784.55pt;width:316.5pt;height:21.7pt;z-index:251657728;visibility:visible;mso-position-vertical-relative:page" o:spid="_x0000_s1025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">
          <v:textbox>
            <w:txbxContent>
              <w:p w:rsidRPr="00DD297D" w:rsidR="00712F48" w:rsidP="00DC3F5B" w:rsidRDefault="00712F48" w14:paraId="445A4F30" wp14:textId="77777777">
                <w:pPr>
                  <w:pStyle w:val="FooterText"/>
                </w:pPr>
                <w:r>
                  <w:t>Назва дисципліни</w:t>
                </w:r>
              </w:p>
            </w:txbxContent>
          </v:textbox>
          <w10:wrap anchory="page"/>
        </v:shape>
      </w:pict>
    </w:r>
    <w:r w:rsidR="00711E43">
      <w:rPr>
        <w:noProof/>
        <w:lang w:val="ru-RU" w:eastAsia="ru-RU"/>
      </w:rPr>
      <w:drawing>
        <wp:inline xmlns:wp14="http://schemas.microsoft.com/office/word/2010/wordprocessingDrawing" distT="0" distB="0" distL="0" distR="0" wp14:anchorId="33C67C3A" wp14:editId="7777777">
          <wp:extent cx="2076450" cy="323850"/>
          <wp:effectExtent l="19050" t="0" r="0" b="0"/>
          <wp:docPr id="4" name="Picture 8" descr="Text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F5074E" w:rsidRDefault="00F5074E" w14:paraId="4B99056E" wp14:textId="77777777">
      <w:r>
        <w:separator/>
      </w:r>
    </w:p>
  </w:footnote>
  <w:footnote w:type="continuationSeparator" w:id="1">
    <w:p xmlns:wp14="http://schemas.microsoft.com/office/word/2010/wordml" w:rsidR="00F5074E" w:rsidRDefault="00F5074E" w14:paraId="1299C43A" wp14:textId="7777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B4B"/>
    <w:multiLevelType w:val="multilevel"/>
    <w:tmpl w:val="E5D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8FA457E"/>
    <w:multiLevelType w:val="hybridMultilevel"/>
    <w:tmpl w:val="AD702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stylePaneFormatFilter w:val="3F01"/>
  <w:trackRevisions w:val="false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D1FBA"/>
    <w:rsid w:val="000321E2"/>
    <w:rsid w:val="00086DCB"/>
    <w:rsid w:val="000A28B1"/>
    <w:rsid w:val="000C2C94"/>
    <w:rsid w:val="000F0EA8"/>
    <w:rsid w:val="001B51E8"/>
    <w:rsid w:val="001C10BB"/>
    <w:rsid w:val="00211847"/>
    <w:rsid w:val="00213650"/>
    <w:rsid w:val="00233E1B"/>
    <w:rsid w:val="0025073F"/>
    <w:rsid w:val="002573BA"/>
    <w:rsid w:val="0027707B"/>
    <w:rsid w:val="002B55A3"/>
    <w:rsid w:val="002C34B2"/>
    <w:rsid w:val="002C7BE7"/>
    <w:rsid w:val="00301AC4"/>
    <w:rsid w:val="00312499"/>
    <w:rsid w:val="003453B5"/>
    <w:rsid w:val="0035235F"/>
    <w:rsid w:val="00363932"/>
    <w:rsid w:val="003F2716"/>
    <w:rsid w:val="0042313C"/>
    <w:rsid w:val="00436362"/>
    <w:rsid w:val="00440511"/>
    <w:rsid w:val="004466E3"/>
    <w:rsid w:val="00451D62"/>
    <w:rsid w:val="00467AF0"/>
    <w:rsid w:val="004A78C1"/>
    <w:rsid w:val="004B7165"/>
    <w:rsid w:val="004B74D1"/>
    <w:rsid w:val="004E3B13"/>
    <w:rsid w:val="00510B80"/>
    <w:rsid w:val="00513008"/>
    <w:rsid w:val="00514D51"/>
    <w:rsid w:val="005232A7"/>
    <w:rsid w:val="00576337"/>
    <w:rsid w:val="0063292E"/>
    <w:rsid w:val="00711E43"/>
    <w:rsid w:val="00712F48"/>
    <w:rsid w:val="0071787C"/>
    <w:rsid w:val="00736935"/>
    <w:rsid w:val="00747D1C"/>
    <w:rsid w:val="00754D82"/>
    <w:rsid w:val="00767496"/>
    <w:rsid w:val="00797DFC"/>
    <w:rsid w:val="007A7AC7"/>
    <w:rsid w:val="007D50EE"/>
    <w:rsid w:val="007F0915"/>
    <w:rsid w:val="00835CFD"/>
    <w:rsid w:val="008546E9"/>
    <w:rsid w:val="00880E34"/>
    <w:rsid w:val="008A6CFF"/>
    <w:rsid w:val="008B2398"/>
    <w:rsid w:val="008C27EB"/>
    <w:rsid w:val="009077D9"/>
    <w:rsid w:val="00932998"/>
    <w:rsid w:val="00954A53"/>
    <w:rsid w:val="00994759"/>
    <w:rsid w:val="009A2833"/>
    <w:rsid w:val="009D19D0"/>
    <w:rsid w:val="009D45F1"/>
    <w:rsid w:val="009E4855"/>
    <w:rsid w:val="00A227BA"/>
    <w:rsid w:val="00AB2DB9"/>
    <w:rsid w:val="00AC6D69"/>
    <w:rsid w:val="00AD1306"/>
    <w:rsid w:val="00B1060F"/>
    <w:rsid w:val="00B106F7"/>
    <w:rsid w:val="00B11DAE"/>
    <w:rsid w:val="00B50677"/>
    <w:rsid w:val="00B8363C"/>
    <w:rsid w:val="00B85F7B"/>
    <w:rsid w:val="00B9483D"/>
    <w:rsid w:val="00BA780B"/>
    <w:rsid w:val="00BB3978"/>
    <w:rsid w:val="00BF669B"/>
    <w:rsid w:val="00C04B7A"/>
    <w:rsid w:val="00C264D3"/>
    <w:rsid w:val="00C47FD3"/>
    <w:rsid w:val="00C6030A"/>
    <w:rsid w:val="00CD1FBA"/>
    <w:rsid w:val="00D35378"/>
    <w:rsid w:val="00D412BF"/>
    <w:rsid w:val="00D52166"/>
    <w:rsid w:val="00DC3F5B"/>
    <w:rsid w:val="00DD0FB0"/>
    <w:rsid w:val="00DD42E7"/>
    <w:rsid w:val="00E735F3"/>
    <w:rsid w:val="00E74512"/>
    <w:rsid w:val="00E932FF"/>
    <w:rsid w:val="00EC4D3B"/>
    <w:rsid w:val="00ED6CCE"/>
    <w:rsid w:val="00F45EBD"/>
    <w:rsid w:val="00F5074E"/>
    <w:rsid w:val="00F5138B"/>
    <w:rsid w:val="00FA5765"/>
    <w:rsid w:val="00FB5A84"/>
    <w:rsid w:val="00FF05A6"/>
    <w:rsid w:val="00FF7C64"/>
    <w:rsid w:val="3F90014B"/>
    <w:rsid w:val="45136D62"/>
    <w:rsid w:val="53F5762A"/>
    <w:rsid w:val="76DC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  <w14:docId w14:val="33CCF660"/>
  <w15:docId w15:val="{7FDBD799-DD51-419A-A13D-17434773B21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a" w:default="1">
    <w:name w:val="Normal"/>
    <w:qFormat/>
    <w:rsid w:val="00CD1FBA"/>
    <w:rPr>
      <w:rFonts w:ascii="Cambria" w:hAnsi="Cambria"/>
      <w:color w:val="000000"/>
      <w:sz w:val="22"/>
      <w:szCs w:val="22"/>
      <w:lang w:val="uk-UA" w:eastAsia="en-US"/>
    </w:rPr>
  </w:style>
  <w:style w:type="paragraph" w:styleId="1">
    <w:name w:val="heading 1"/>
    <w:basedOn w:val="Normalcentered"/>
    <w:next w:val="a"/>
    <w:link w:val="10"/>
    <w:qFormat/>
    <w:rsid w:val="00CD1FBA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basedOn w:val="a"/>
    <w:next w:val="a"/>
    <w:link w:val="20"/>
    <w:qFormat/>
    <w:rsid w:val="00CD1FBA"/>
    <w:pPr>
      <w:keepNext/>
      <w:spacing w:before="60" w:after="240" w:line="259" w:lineRule="auto"/>
      <w:outlineLvl w:val="1"/>
    </w:pPr>
    <w:rPr>
      <w:b/>
      <w:bCs/>
      <w:color w:val="A0001B"/>
      <w:sz w:val="28"/>
      <w:szCs w:val="28"/>
    </w:rPr>
  </w:style>
  <w:style w:type="paragraph" w:styleId="3">
    <w:name w:val="heading 3"/>
    <w:basedOn w:val="a"/>
    <w:next w:val="a"/>
    <w:link w:val="30"/>
    <w:qFormat/>
    <w:rsid w:val="00CD1FBA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1FBA"/>
    <w:pPr>
      <w:outlineLvl w:val="3"/>
    </w:pPr>
    <w:rPr>
      <w:color w:val="A0001B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locked/>
    <w:rsid w:val="00CD1FBA"/>
    <w:rPr>
      <w:rFonts w:ascii="Cambria" w:hAnsi="Cambria"/>
      <w:b/>
      <w:bCs/>
      <w:color w:val="A0001B"/>
      <w:sz w:val="36"/>
      <w:szCs w:val="36"/>
      <w:lang w:val="uk-UA" w:eastAsia="en-US" w:bidi="ar-SA"/>
    </w:rPr>
  </w:style>
  <w:style w:type="character" w:styleId="20" w:customStyle="1">
    <w:name w:val="Заголовок 2 Знак"/>
    <w:link w:val="2"/>
    <w:locked/>
    <w:rsid w:val="00CD1FBA"/>
    <w:rPr>
      <w:rFonts w:ascii="Cambria" w:hAnsi="Cambria"/>
      <w:b/>
      <w:bCs/>
      <w:color w:val="A0001B"/>
      <w:sz w:val="28"/>
      <w:szCs w:val="28"/>
      <w:lang w:val="uk-UA" w:eastAsia="en-US" w:bidi="ar-SA"/>
    </w:rPr>
  </w:style>
  <w:style w:type="character" w:styleId="30" w:customStyle="1">
    <w:name w:val="Заголовок 3 Знак"/>
    <w:link w:val="3"/>
    <w:locked/>
    <w:rsid w:val="00CD1FBA"/>
    <w:rPr>
      <w:rFonts w:ascii="Cambria" w:hAnsi="Cambria"/>
      <w:b/>
      <w:bCs/>
      <w:color w:val="000000"/>
      <w:sz w:val="24"/>
      <w:lang w:val="uk-UA" w:eastAsia="ru-RU" w:bidi="ar-SA"/>
    </w:rPr>
  </w:style>
  <w:style w:type="character" w:styleId="40" w:customStyle="1">
    <w:name w:val="Заголовок 4 Знак"/>
    <w:link w:val="4"/>
    <w:locked/>
    <w:rsid w:val="00CD1FBA"/>
    <w:rPr>
      <w:rFonts w:ascii="Cambria" w:hAnsi="Cambria"/>
      <w:color w:val="A0001B"/>
      <w:sz w:val="22"/>
      <w:szCs w:val="22"/>
      <w:lang w:val="uk-UA" w:eastAsia="en-US" w:bidi="ar-SA"/>
    </w:rPr>
  </w:style>
  <w:style w:type="paragraph" w:styleId="Normalcentered" w:customStyle="1">
    <w:name w:val="Normal centered"/>
    <w:basedOn w:val="a"/>
    <w:rsid w:val="00CD1FBA"/>
    <w:pPr>
      <w:jc w:val="center"/>
    </w:pPr>
  </w:style>
  <w:style w:type="character" w:styleId="a3">
    <w:name w:val="Hyperlink"/>
    <w:rsid w:val="00CD1FBA"/>
    <w:rPr>
      <w:rFonts w:cs="Times New Roman"/>
      <w:color w:val="A0001B"/>
      <w:u w:val="single"/>
      <w:lang w:val="uk-UA"/>
    </w:rPr>
  </w:style>
  <w:style w:type="paragraph" w:styleId="Normalcenteredbold" w:customStyle="1">
    <w:name w:val="Normal centered bold"/>
    <w:basedOn w:val="Normalcentered"/>
    <w:locked/>
    <w:rsid w:val="00CD1FBA"/>
    <w:rPr>
      <w:b/>
      <w:bCs/>
      <w:sz w:val="28"/>
      <w:szCs w:val="24"/>
    </w:rPr>
  </w:style>
  <w:style w:type="paragraph" w:styleId="a4">
    <w:name w:val="footer"/>
    <w:basedOn w:val="a"/>
    <w:link w:val="a5"/>
    <w:rsid w:val="00CD1FBA"/>
    <w:pPr>
      <w:tabs>
        <w:tab w:val="center" w:pos="4680"/>
        <w:tab w:val="right" w:pos="9360"/>
      </w:tabs>
    </w:pPr>
  </w:style>
  <w:style w:type="character" w:styleId="a5" w:customStyle="1">
    <w:name w:val="Нижний колонтитул Знак"/>
    <w:link w:val="a4"/>
    <w:locked/>
    <w:rsid w:val="00CD1FBA"/>
    <w:rPr>
      <w:rFonts w:ascii="Cambria" w:hAnsi="Cambria"/>
      <w:color w:val="000000"/>
      <w:sz w:val="22"/>
      <w:szCs w:val="22"/>
      <w:lang w:val="uk-UA" w:eastAsia="en-US" w:bidi="ar-SA"/>
    </w:rPr>
  </w:style>
  <w:style w:type="paragraph" w:styleId="FooterText" w:customStyle="1">
    <w:name w:val="Footer Text"/>
    <w:basedOn w:val="a"/>
    <w:locked/>
    <w:rsid w:val="00CD1FBA"/>
    <w:pPr>
      <w:spacing w:line="480" w:lineRule="auto"/>
    </w:pPr>
    <w:rPr>
      <w:i/>
      <w:sz w:val="18"/>
      <w:szCs w:val="16"/>
    </w:rPr>
  </w:style>
  <w:style w:type="paragraph" w:styleId="a6">
    <w:name w:val="header"/>
    <w:basedOn w:val="a"/>
    <w:rsid w:val="004B74D1"/>
    <w:pPr>
      <w:tabs>
        <w:tab w:val="center" w:pos="4677"/>
        <w:tab w:val="right" w:pos="9355"/>
      </w:tabs>
    </w:pPr>
  </w:style>
  <w:style w:type="paragraph" w:styleId="a7">
    <w:name w:val="Subtitle"/>
    <w:basedOn w:val="a"/>
    <w:link w:val="a8"/>
    <w:qFormat/>
    <w:rsid w:val="007D50EE"/>
    <w:pPr>
      <w:tabs>
        <w:tab w:val="left" w:pos="6169"/>
        <w:tab w:val="left" w:pos="6763"/>
      </w:tabs>
    </w:pPr>
    <w:rPr>
      <w:rFonts w:ascii="Times New Roman" w:hAnsi="Times New Roman"/>
      <w:b/>
      <w:bCs/>
      <w:color w:val="auto"/>
      <w:sz w:val="20"/>
      <w:szCs w:val="24"/>
      <w:lang w:eastAsia="ru-RU"/>
    </w:rPr>
  </w:style>
  <w:style w:type="character" w:styleId="a8" w:customStyle="1">
    <w:name w:val="Подзаголовок Знак"/>
    <w:link w:val="a7"/>
    <w:locked/>
    <w:rsid w:val="007D50EE"/>
    <w:rPr>
      <w:b/>
      <w:bCs/>
      <w:szCs w:val="24"/>
      <w:lang w:eastAsia="ru-RU" w:bidi="ar-SA"/>
    </w:rPr>
  </w:style>
  <w:style w:type="paragraph" w:styleId="a9">
    <w:name w:val="Plain Text"/>
    <w:basedOn w:val="a"/>
    <w:link w:val="aa"/>
    <w:rsid w:val="007D50EE"/>
    <w:rPr>
      <w:rFonts w:ascii="Courier New" w:hAnsi="Courier New" w:cs="Courier New"/>
      <w:color w:val="auto"/>
      <w:sz w:val="20"/>
      <w:szCs w:val="20"/>
      <w:lang w:eastAsia="ru-RU"/>
    </w:rPr>
  </w:style>
  <w:style w:type="character" w:styleId="aa" w:customStyle="1">
    <w:name w:val="Текст Знак"/>
    <w:link w:val="a9"/>
    <w:semiHidden/>
    <w:locked/>
    <w:rsid w:val="007D50EE"/>
    <w:rPr>
      <w:rFonts w:ascii="Courier New" w:hAnsi="Courier New" w:cs="Courier New"/>
      <w:lang w:eastAsia="ru-RU" w:bidi="ar-SA"/>
    </w:rPr>
  </w:style>
  <w:style w:type="paragraph" w:styleId="Default" w:customStyle="1">
    <w:name w:val="Default"/>
    <w:rsid w:val="00754D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rsid w:val="009D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styleId="y2iqfc" w:customStyle="1">
    <w:name w:val="y2iqfc"/>
    <w:basedOn w:val="a0"/>
    <w:rsid w:val="009D45F1"/>
  </w:style>
  <w:style w:type="paragraph" w:styleId="ab">
    <w:name w:val="Balloon Text"/>
    <w:basedOn w:val="a"/>
    <w:link w:val="ac"/>
    <w:rsid w:val="00C264D3"/>
    <w:rPr>
      <w:rFonts w:ascii="Tahoma" w:hAnsi="Tahoma" w:cs="Tahoma"/>
      <w:sz w:val="16"/>
      <w:szCs w:val="16"/>
    </w:rPr>
  </w:style>
  <w:style w:type="character" w:styleId="ac" w:customStyle="1">
    <w:name w:val="Текст выноски Знак"/>
    <w:basedOn w:val="a0"/>
    <w:link w:val="ab"/>
    <w:rsid w:val="00C264D3"/>
    <w:rPr>
      <w:rFonts w:ascii="Tahoma" w:hAnsi="Tahoma" w:cs="Tahoma"/>
      <w:color w:val="000000"/>
      <w:sz w:val="16"/>
      <w:szCs w:val="16"/>
      <w:lang w:val="uk-UA" w:eastAsia="en-US"/>
    </w:rPr>
  </w:style>
  <w:style w:type="paragraph" w:styleId="ad">
    <w:name w:val="List Paragraph"/>
    <w:basedOn w:val="a"/>
    <w:uiPriority w:val="34"/>
    <w:qFormat/>
    <w:rsid w:val="00086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blogs.kpi.kharkov.ua/v2/nv/akademichna-dobrochesnist/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kpi.kharkov.ua/ukr/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A512-EFB1-4377-8E83-556F823BF2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Анатоль</dc:creator>
  <lastModifiedBy>Анастасія Євгенівна Книш</lastModifiedBy>
  <revision>7</revision>
  <dcterms:created xsi:type="dcterms:W3CDTF">2023-07-21T06:31:00.0000000Z</dcterms:created>
  <dcterms:modified xsi:type="dcterms:W3CDTF">2023-07-27T07:48:50.3303849Z</dcterms:modified>
</coreProperties>
</file>