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9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gridSpan w:val="2"/>
            <w:vMerge w:val="restart"/>
          </w:tcPr>
          <w:p w:rsidR="001078C9" w:rsidRPr="00DF7F92" w:rsidRDefault="001078C9" w:rsidP="00DF7F92">
            <w:pPr>
              <w:jc w:val="center"/>
            </w:pPr>
            <w:permStart w:id="435491294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18520117" wp14:editId="1D00920B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EndPr/>
          <w:sdtContent>
            <w:tc>
              <w:tcPr>
                <w:tcW w:w="1836" w:type="dxa"/>
                <w:vMerge w:val="restart"/>
              </w:tcPr>
              <w:p w:rsidR="001078C9" w:rsidRPr="00DF7F92" w:rsidRDefault="002270D2" w:rsidP="00DF7F92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39EF7CCC" wp14:editId="33937EEB">
                      <wp:extent cx="1021080" cy="982908"/>
                      <wp:effectExtent l="0" t="0" r="0" b="0"/>
                      <wp:docPr id="6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734" cy="986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435491294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gridSpan w:val="2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00DA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214DA9" w:rsidP="00744389">
            <w:permStart w:id="1226931166" w:edGrp="everyone"/>
            <w:r w:rsidRPr="00214DA9">
              <w:t>073 – Менеджмент</w:t>
            </w:r>
            <w:permEnd w:id="1226931166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744389" w:rsidP="00744389">
            <w:permStart w:id="405222356" w:edGrp="everyone"/>
            <w:proofErr w:type="spellStart"/>
            <w:r w:rsidRPr="007B7FBA">
              <w:t>ННІ</w:t>
            </w:r>
            <w:r w:rsidR="004552CD">
              <w:t>Соціально</w:t>
            </w:r>
            <w:proofErr w:type="spellEnd"/>
            <w:r w:rsidR="004552CD">
              <w:t xml:space="preserve"> </w:t>
            </w:r>
            <w:proofErr w:type="spellStart"/>
            <w:r w:rsidR="004552CD">
              <w:t>-гуманітарних</w:t>
            </w:r>
            <w:proofErr w:type="spellEnd"/>
            <w:r w:rsidR="004552CD">
              <w:t xml:space="preserve"> технологій</w:t>
            </w:r>
            <w:permEnd w:id="405222356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9E46FC" w:rsidRPr="009E46FC" w:rsidRDefault="00704525" w:rsidP="009E46FC">
            <w:permStart w:id="843986568" w:edGrp="everyone"/>
            <w:r>
              <w:t>М</w:t>
            </w:r>
            <w:r w:rsidRPr="009E46FC">
              <w:t>енеджмент організацій і адміністрування</w:t>
            </w:r>
          </w:p>
          <w:permEnd w:id="843986568"/>
          <w:p w:rsidR="00D1344F" w:rsidRPr="007B7FBA" w:rsidRDefault="00D1344F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</w:p>
          <w:p w:rsidR="00744389" w:rsidRPr="007B7FBA" w:rsidRDefault="004552CD" w:rsidP="00744389">
            <w:permStart w:id="1487276741" w:edGrp="everyone"/>
            <w:r>
              <w:t xml:space="preserve">Права </w:t>
            </w:r>
            <w:r w:rsidR="00744389" w:rsidRPr="007B7FBA">
              <w:t>(</w:t>
            </w:r>
            <w:r>
              <w:t>306</w:t>
            </w:r>
            <w:r w:rsidR="00744389" w:rsidRPr="007B7FBA">
              <w:t>)</w:t>
            </w:r>
            <w:permEnd w:id="1487276741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983189252" w:edGrp="everyone"/>
            <w:r w:rsidRPr="007B7FBA">
              <w:t>Бакалавр</w:t>
            </w:r>
          </w:p>
          <w:permEnd w:id="1983189252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4552CD" w:rsidP="007B7FBA">
            <w:permStart w:id="526719051" w:edGrp="everyone"/>
            <w:r>
              <w:t>Загальн</w:t>
            </w:r>
            <w:r w:rsidR="0056671A">
              <w:t>а</w:t>
            </w:r>
            <w:permEnd w:id="526719051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C822EA" w:rsidP="00A06DA1">
            <w:permStart w:id="1116411262" w:edGrp="everyone"/>
            <w:r>
              <w:t>1</w:t>
            </w:r>
            <w:permEnd w:id="1116411262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803427143" w:edGrp="everyone"/>
            <w:r>
              <w:t>Українська</w:t>
            </w:r>
            <w:permEnd w:id="1803427143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7829"/>
      </w:tblGrid>
      <w:tr w:rsidR="00DB5076" w:rsidTr="007B7FBA">
        <w:permStart w:id="1206134160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C822EA" w:rsidP="00DB5076">
                <w:pPr>
                  <w:jc w:val="center"/>
                  <w:rPr>
                    <w:lang w:val="en-US"/>
                  </w:rPr>
                </w:pPr>
                <w:r w:rsidRPr="00C822EA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304925" cy="1493654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20200521_234244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681" cy="149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827F82" w:rsidRPr="00AF6D59" w:rsidRDefault="000F417A" w:rsidP="00AF6D59">
            <w:pPr>
              <w:pStyle w:val="3"/>
              <w:outlineLvl w:val="2"/>
            </w:pPr>
            <w:r>
              <w:t xml:space="preserve">Лисенко Ірина В'ячеславівна </w:t>
            </w:r>
          </w:p>
          <w:p w:rsidR="00DB5076" w:rsidRPr="001528D0" w:rsidRDefault="00622931" w:rsidP="00827F82">
            <w:hyperlink r:id="rId12" w:history="1">
              <w:r w:rsidR="00252194" w:rsidRPr="00525424">
                <w:rPr>
                  <w:rStyle w:val="a5"/>
                </w:rPr>
                <w:t>Iryna.Lysenko@khpi.edu.ua</w:t>
              </w:r>
            </w:hyperlink>
          </w:p>
          <w:p w:rsidR="00C822EA" w:rsidRDefault="00C822EA" w:rsidP="00827F82">
            <w:pPr>
              <w:rPr>
                <w:bCs/>
              </w:rPr>
            </w:pPr>
            <w:r w:rsidRPr="00C822EA">
              <w:t>Кандидат</w:t>
            </w:r>
            <w:r w:rsidR="00252194">
              <w:t>ка</w:t>
            </w:r>
            <w:r w:rsidRPr="00C822EA">
              <w:t xml:space="preserve"> юридичних наук, доцент, завідувачка кафедри права (НТУ «ХПІ»). </w:t>
            </w:r>
          </w:p>
          <w:p w:rsidR="00827F82" w:rsidRDefault="00827F82" w:rsidP="00827F82">
            <w:pPr>
              <w:rPr>
                <w:bCs/>
              </w:rPr>
            </w:pPr>
          </w:p>
          <w:p w:rsidR="00827F82" w:rsidRDefault="00C822EA" w:rsidP="00827F82">
            <w:pPr>
              <w:rPr>
                <w:bCs/>
              </w:rPr>
            </w:pPr>
            <w:r w:rsidRPr="00C822EA">
              <w:t>Авторка понад 150 наукових і навчально-методичних публікацій. Провідна лекторка з курсів: «Правознавство», «Трудове та господарське право»,«</w:t>
            </w:r>
            <w:r>
              <w:t xml:space="preserve">Правове регулювання </w:t>
            </w:r>
            <w:r w:rsidR="002A7342">
              <w:t xml:space="preserve">створення та діяльності </w:t>
            </w:r>
            <w:proofErr w:type="spellStart"/>
            <w:r>
              <w:t>стартапів</w:t>
            </w:r>
            <w:proofErr w:type="spellEnd"/>
            <w:r w:rsidRPr="00C822EA">
              <w:t>»</w:t>
            </w:r>
            <w:r w:rsidR="001528D0">
              <w:rPr>
                <w:bCs/>
              </w:rPr>
              <w:t>.</w:t>
            </w:r>
          </w:p>
          <w:p w:rsidR="00485C8A" w:rsidRDefault="00622931" w:rsidP="004552CD">
            <w:hyperlink r:id="rId13" w:history="1">
              <w:r w:rsidR="004552CD" w:rsidRPr="000D521E">
                <w:rPr>
                  <w:rStyle w:val="a5"/>
                </w:rPr>
                <w:t>http://web.kpi.kharkov.ua/pravo/uk/publikatsiyi/metodichki/</w:t>
              </w:r>
            </w:hyperlink>
          </w:p>
          <w:p w:rsidR="004552CD" w:rsidRPr="009417C1" w:rsidRDefault="004552CD" w:rsidP="004552CD"/>
        </w:tc>
      </w:tr>
      <w:tr w:rsidR="00DB5076" w:rsidTr="007B7FBA">
        <w:sdt>
          <w:sdtPr>
            <w:rPr>
              <w:color w:val="A0001B"/>
              <w:u w:val="single"/>
              <w:lang w:val="en-US"/>
            </w:rPr>
            <w:id w:val="1063453957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2F2CD5" w:rsidP="00DB5076">
                <w:pPr>
                  <w:jc w:val="center"/>
                  <w:rPr>
                    <w:lang w:val="en-US"/>
                  </w:rPr>
                </w:pPr>
                <w:r w:rsidRPr="002F2CD5"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1238250" cy="1440180"/>
                      <wp:effectExtent l="19050" t="0" r="0" b="0"/>
                      <wp:docPr id="4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095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212E99" w:rsidRPr="00827F82" w:rsidRDefault="002F2CD5" w:rsidP="00AF6D59">
            <w:pPr>
              <w:pStyle w:val="3"/>
              <w:outlineLvl w:val="2"/>
            </w:pPr>
            <w:r>
              <w:t>Ткачов Максим Михайлович</w:t>
            </w:r>
          </w:p>
          <w:p w:rsidR="002F2CD5" w:rsidRPr="002F2CD5" w:rsidRDefault="00622931" w:rsidP="002F2CD5">
            <w:hyperlink r:id="rId15" w:history="1">
              <w:r w:rsidR="002F2CD5" w:rsidRPr="002F2CD5">
                <w:rPr>
                  <w:rStyle w:val="a5"/>
                </w:rPr>
                <w:t>maksym.tkachov@khpi.edu.ua</w:t>
              </w:r>
            </w:hyperlink>
          </w:p>
          <w:p w:rsidR="00383BF5" w:rsidRPr="00383BF5" w:rsidRDefault="002F2CD5" w:rsidP="006B46BE">
            <w:r w:rsidRPr="00C822EA">
              <w:t>Кандидат</w:t>
            </w:r>
            <w:r w:rsidRPr="002F2CD5">
              <w:t xml:space="preserve"> </w:t>
            </w:r>
            <w:r>
              <w:t>економічних</w:t>
            </w:r>
            <w:r w:rsidRPr="002F2CD5">
              <w:t xml:space="preserve"> наук, доцент кафедри </w:t>
            </w:r>
            <w:r w:rsidR="006B46BE">
              <w:t xml:space="preserve">права </w:t>
            </w:r>
            <w:r w:rsidR="00383BF5" w:rsidRPr="00C822EA">
              <w:t xml:space="preserve">(НТУ «ХПІ»). </w:t>
            </w:r>
          </w:p>
          <w:p w:rsidR="00212E99" w:rsidRDefault="00212E99" w:rsidP="002F2CD5">
            <w:pPr>
              <w:rPr>
                <w:bCs/>
              </w:rPr>
            </w:pPr>
          </w:p>
          <w:p w:rsidR="002F2CD5" w:rsidRPr="002F2CD5" w:rsidRDefault="002F2CD5" w:rsidP="002F2CD5">
            <w:r>
              <w:t>Автор</w:t>
            </w:r>
            <w:r w:rsidRPr="00C822EA">
              <w:t xml:space="preserve"> понад 1</w:t>
            </w:r>
            <w:r>
              <w:t>0</w:t>
            </w:r>
            <w:r w:rsidRPr="00C822EA">
              <w:t>0 наукових і навчально-методичних публікацій. Провідн</w:t>
            </w:r>
            <w:r>
              <w:t>ий лектор</w:t>
            </w:r>
            <w:r w:rsidRPr="00C822EA">
              <w:t xml:space="preserve"> з курсів: «Правознавство», «Трудове та господарське право»,«</w:t>
            </w:r>
            <w:r w:rsidR="00383B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383BF5" w:rsidRPr="00383BF5">
              <w:t>Міжнародне корпоративне та фінансове право</w:t>
            </w:r>
            <w:r w:rsidRPr="002F2CD5">
              <w:t>».</w:t>
            </w:r>
          </w:p>
          <w:p w:rsidR="00485C8A" w:rsidRPr="00383BF5" w:rsidRDefault="00622931" w:rsidP="00383BF5">
            <w:pPr>
              <w:rPr>
                <w:color w:val="A0001B"/>
                <w:u w:val="single"/>
              </w:rPr>
            </w:pPr>
            <w:hyperlink r:id="rId16" w:history="1">
              <w:r w:rsidR="00383BF5" w:rsidRPr="00383BF5">
                <w:rPr>
                  <w:rStyle w:val="a5"/>
                </w:rPr>
                <w:t>http://web.kpi.kharkov.ua/pravo/uk/shtat-kafedru/</w:t>
              </w:r>
            </w:hyperlink>
          </w:p>
        </w:tc>
      </w:tr>
      <w:tr w:rsidR="00DB5076" w:rsidTr="007B7FBA">
        <w:tc>
          <w:tcPr>
            <w:tcW w:w="2092" w:type="dxa"/>
            <w:tcMar>
              <w:left w:w="0" w:type="dxa"/>
              <w:bottom w:w="227" w:type="dxa"/>
            </w:tcMar>
          </w:tcPr>
          <w:p w:rsidR="00DB5076" w:rsidRPr="00383BF5" w:rsidRDefault="00DB5076" w:rsidP="00DB5076">
            <w:pPr>
              <w:jc w:val="center"/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:rsidR="00485C8A" w:rsidRPr="00383BF5" w:rsidRDefault="00485C8A" w:rsidP="00252194">
            <w:pPr>
              <w:rPr>
                <w:color w:val="A0001B"/>
                <w:u w:val="single"/>
              </w:rPr>
            </w:pPr>
          </w:p>
        </w:tc>
      </w:tr>
    </w:tbl>
    <w:permEnd w:id="1206134160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037752" w:rsidRDefault="00037752" w:rsidP="00B2225F">
      <w:permStart w:id="1900743896" w:edGrp="everyone"/>
      <w:r w:rsidRPr="00037752">
        <w:t xml:space="preserve"> 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proofErr w:type="spellStart"/>
      <w:r>
        <w:t>керівництвапідприємствами</w:t>
      </w:r>
      <w:proofErr w:type="spellEnd"/>
      <w:r>
        <w:t>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ermEnd w:id="1900743896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lastRenderedPageBreak/>
        <w:t>Мета та цілі</w:t>
      </w:r>
      <w:r>
        <w:t>дисципліни</w:t>
      </w:r>
    </w:p>
    <w:p w:rsidR="00527DC3" w:rsidRPr="00B5617C" w:rsidRDefault="00CD6D1C" w:rsidP="00527DC3">
      <w:permStart w:id="2103776310" w:edGrp="everyone"/>
      <w:r w:rsidRPr="00CD6D1C">
        <w:t>Засвоєння майбутніми фахівцями нормативно-правових актів чин</w:t>
      </w:r>
      <w:r w:rsidR="002A7342"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 w:rsidR="002A7342">
        <w:t xml:space="preserve"> державою.</w:t>
      </w:r>
    </w:p>
    <w:permEnd w:id="2103776310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527DC3" w:rsidP="00527DC3">
      <w:permStart w:id="148985337" w:edGrp="everyone"/>
      <w:r w:rsidRPr="00527DC3">
        <w:t xml:space="preserve">Лекції, </w:t>
      </w:r>
      <w:r w:rsidR="00736C60">
        <w:t xml:space="preserve">практичні заняття, </w:t>
      </w:r>
      <w:r w:rsidRPr="00527DC3">
        <w:t xml:space="preserve">самостійна робота, </w:t>
      </w:r>
      <w:r w:rsidR="00F5171C">
        <w:t>реферати</w:t>
      </w:r>
      <w:r w:rsidRPr="00527DC3">
        <w:t xml:space="preserve">. Підсумковий контроль – </w:t>
      </w:r>
      <w:r w:rsidR="004552CD">
        <w:t xml:space="preserve">диференційований </w:t>
      </w:r>
      <w:r w:rsidR="00CD6D1C">
        <w:t>залік</w:t>
      </w:r>
      <w:r w:rsidRPr="00527DC3">
        <w:t>.</w:t>
      </w:r>
    </w:p>
    <w:permEnd w:id="148985337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7744E2" w:rsidRPr="007744E2" w:rsidRDefault="007744E2" w:rsidP="007744E2">
      <w:permStart w:id="1199134727" w:edGrp="everyone"/>
      <w:r w:rsidRPr="007744E2">
        <w:t xml:space="preserve">ЗК01. Здатність реалізувати </w:t>
      </w:r>
      <w:proofErr w:type="spellStart"/>
      <w:r w:rsidRPr="007744E2">
        <w:t>свої</w:t>
      </w:r>
      <w:proofErr w:type="spellEnd"/>
      <w:r w:rsidRPr="007744E2">
        <w:t xml:space="preserve"> права і обов’язки як члена суспільства, усвідомлювати цінності громадянського (демократичного) суспільства та необхідність </w:t>
      </w:r>
      <w:proofErr w:type="spellStart"/>
      <w:r w:rsidRPr="007744E2">
        <w:t>його</w:t>
      </w:r>
      <w:proofErr w:type="spellEnd"/>
      <w:r w:rsidRPr="007744E2">
        <w:t xml:space="preserve"> сталого розвитку, верховенства права, прав і свобод людини і громадянина </w:t>
      </w:r>
    </w:p>
    <w:p w:rsidR="007744E2" w:rsidRPr="007744E2" w:rsidRDefault="007744E2" w:rsidP="007744E2">
      <w:r w:rsidRPr="007744E2">
        <w:t xml:space="preserve">ЗК02. Здатність зберігати та примножувати моральні, культурні, наукові цінності та примножувати досягнення суспільства на основі розуміння </w:t>
      </w:r>
      <w:proofErr w:type="spellStart"/>
      <w:r w:rsidRPr="007744E2">
        <w:t>історії̈</w:t>
      </w:r>
      <w:proofErr w:type="spellEnd"/>
      <w:r w:rsidRPr="007744E2">
        <w:t xml:space="preserve"> та </w:t>
      </w:r>
      <w:proofErr w:type="spellStart"/>
      <w:r w:rsidRPr="007744E2">
        <w:t>закономірностей̆</w:t>
      </w:r>
      <w:proofErr w:type="spellEnd"/>
      <w:r w:rsidRPr="007744E2">
        <w:t xml:space="preserve"> розвитку </w:t>
      </w:r>
      <w:proofErr w:type="spellStart"/>
      <w:r w:rsidRPr="007744E2">
        <w:t>предметної̈</w:t>
      </w:r>
      <w:proofErr w:type="spellEnd"/>
      <w:r w:rsidRPr="007744E2">
        <w:t xml:space="preserve"> області, </w:t>
      </w:r>
      <w:proofErr w:type="spellStart"/>
      <w:r w:rsidRPr="007744E2">
        <w:t>її</w:t>
      </w:r>
      <w:proofErr w:type="spellEnd"/>
      <w:r w:rsidRPr="007744E2">
        <w:t xml:space="preserve"> місця у </w:t>
      </w:r>
      <w:proofErr w:type="spellStart"/>
      <w:r w:rsidRPr="007744E2">
        <w:t>загальній̆</w:t>
      </w:r>
      <w:proofErr w:type="spellEnd"/>
      <w:r w:rsidRPr="007744E2">
        <w:t xml:space="preserve"> системі знань про природу і суспільство та у розвитку суспільства, техніки і </w:t>
      </w:r>
      <w:proofErr w:type="spellStart"/>
      <w:r w:rsidRPr="007744E2">
        <w:t>технологій̆</w:t>
      </w:r>
      <w:proofErr w:type="spellEnd"/>
      <w:r w:rsidRPr="007744E2">
        <w:t xml:space="preserve">, використовувати різні види та форми </w:t>
      </w:r>
      <w:proofErr w:type="spellStart"/>
      <w:r w:rsidRPr="007744E2">
        <w:t>рухової̈</w:t>
      </w:r>
      <w:proofErr w:type="spellEnd"/>
      <w:r w:rsidRPr="007744E2">
        <w:t xml:space="preserve"> активності для активного відпочинку та ведення здорового способу життя </w:t>
      </w:r>
    </w:p>
    <w:p w:rsidR="00736C60" w:rsidRPr="00736C60" w:rsidRDefault="007744E2" w:rsidP="007744E2">
      <w:r w:rsidRPr="007744E2">
        <w:t>ЗК09. Здатність вчитися і оволодівати сучасними знаннями.</w:t>
      </w:r>
      <w:r w:rsidRPr="007744E2">
        <w:br/>
        <w:t>СК13. Розуміти принципи і норми права та використовувати їх у професійній діяльності.</w:t>
      </w:r>
    </w:p>
    <w:p w:rsidR="009B5D49" w:rsidRDefault="009B5D49" w:rsidP="009B5D49"/>
    <w:permEnd w:id="1199134727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7744E2" w:rsidRDefault="007744E2" w:rsidP="007744E2">
      <w:permStart w:id="1851276417" w:edGrp="everyone"/>
      <w:r w:rsidRPr="007744E2">
        <w:t>ПР01. 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</w:r>
    </w:p>
    <w:p w:rsidR="009809A2" w:rsidRPr="009809A2" w:rsidRDefault="009809A2" w:rsidP="009809A2">
      <w:pPr>
        <w:rPr>
          <w:lang w:eastAsia="uk-UA"/>
        </w:rPr>
      </w:pPr>
      <w:r w:rsidRPr="009809A2">
        <w:rPr>
          <w:lang w:eastAsia="uk-UA"/>
        </w:rPr>
        <w:t>ПР02. Зберігати моральні, культурні, наукові цінності та примножувати досягнення  суспільства, використовувати різні види та форми рухової активності для ведення здорового способу життя.</w:t>
      </w:r>
    </w:p>
    <w:p w:rsidR="009809A2" w:rsidRPr="007744E2" w:rsidRDefault="009809A2" w:rsidP="007744E2">
      <w:r w:rsidRPr="009809A2">
        <w:t>ПР12. Оцінювати правові, соціальні та економічні наслідки функціонування організації.</w:t>
      </w:r>
    </w:p>
    <w:p w:rsidR="00C77EC0" w:rsidRPr="00C77EC0" w:rsidRDefault="007744E2" w:rsidP="007744E2">
      <w:r w:rsidRPr="007744E2">
        <w:rPr>
          <w:lang w:eastAsia="uk-UA"/>
        </w:rPr>
        <w:t>ПР16. Демонструвати навички самостійної роботи, гнучкого мислення, відкритості до нових знань, бути критичним і самокритичним.</w:t>
      </w:r>
      <w:r w:rsidR="00C77EC0" w:rsidRPr="00C77EC0">
        <w:t>.</w:t>
      </w:r>
    </w:p>
    <w:permEnd w:id="1851276417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0F417A" w:rsidRDefault="0053388F" w:rsidP="000F417A">
      <w:permStart w:id="1995598330" w:edGrp="everyone"/>
      <w:proofErr w:type="spellStart"/>
      <w:r w:rsidRPr="0053388F">
        <w:t>Загальнийобсягдисципліни</w:t>
      </w:r>
      <w:proofErr w:type="spellEnd"/>
      <w:r>
        <w:t xml:space="preserve"> 120 </w:t>
      </w:r>
      <w:r w:rsidRPr="0053388F">
        <w:t>годин</w:t>
      </w:r>
      <w:r>
        <w:t xml:space="preserve"> (4 </w:t>
      </w:r>
      <w:proofErr w:type="spellStart"/>
      <w:r w:rsidRPr="0053388F">
        <w:t>кредит</w:t>
      </w:r>
      <w:r>
        <w:t>аECTS</w:t>
      </w:r>
      <w:proofErr w:type="spellEnd"/>
      <w:r>
        <w:t xml:space="preserve">): </w:t>
      </w:r>
      <w:r w:rsidRPr="0053388F">
        <w:t>лекції</w:t>
      </w:r>
      <w:r>
        <w:t xml:space="preserve"> – 32 </w:t>
      </w:r>
      <w:r w:rsidRPr="0053388F">
        <w:t>год</w:t>
      </w:r>
      <w:r>
        <w:t xml:space="preserve">., </w:t>
      </w:r>
      <w:proofErr w:type="spellStart"/>
      <w:r w:rsidRPr="0053388F">
        <w:t>практичнізаняття</w:t>
      </w:r>
      <w:proofErr w:type="spellEnd"/>
      <w:r>
        <w:t xml:space="preserve"> – 16</w:t>
      </w:r>
      <w:r w:rsidRPr="0053388F">
        <w:t>год</w:t>
      </w:r>
      <w:r>
        <w:t xml:space="preserve">., </w:t>
      </w:r>
      <w:proofErr w:type="spellStart"/>
      <w:r w:rsidRPr="0053388F">
        <w:t>самостійнаробота</w:t>
      </w:r>
      <w:proofErr w:type="spellEnd"/>
      <w:r>
        <w:t xml:space="preserve"> – 72 </w:t>
      </w:r>
      <w:r w:rsidRPr="0053388F">
        <w:t>год</w:t>
      </w:r>
      <w:r>
        <w:t>.</w:t>
      </w:r>
      <w:r w:rsidR="000F417A" w:rsidRPr="00527DC3">
        <w:t>.</w:t>
      </w:r>
    </w:p>
    <w:permEnd w:id="1995598330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806F52" w:rsidRDefault="009809A2" w:rsidP="00806F52">
      <w:pPr>
        <w:rPr>
          <w:lang w:eastAsia="ru-RU"/>
        </w:rPr>
      </w:pPr>
      <w:permStart w:id="557842889" w:edGrp="everyone"/>
      <w:r>
        <w:t xml:space="preserve">Курс є початковим та потребує знань на рівні середньої освіти </w:t>
      </w:r>
    </w:p>
    <w:permEnd w:id="557842889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806F52" w:rsidRPr="005922F7" w:rsidRDefault="00404B27" w:rsidP="00806F52">
      <w:pPr>
        <w:rPr>
          <w:lang w:eastAsia="ru-RU"/>
        </w:rPr>
      </w:pPr>
      <w:permStart w:id="765476952" w:edGrp="everyone"/>
      <w:proofErr w:type="spellStart"/>
      <w:r w:rsidRPr="00404B27">
        <w:t>Лекціїпроводятьсязвикористанняммультимедійнихтехнологій</w:t>
      </w:r>
      <w:proofErr w:type="spellEnd"/>
      <w:r>
        <w:t xml:space="preserve">. </w:t>
      </w:r>
      <w:proofErr w:type="spellStart"/>
      <w:r w:rsidRPr="00404B27">
        <w:t>Напрактичнихзаняттяхвикористову</w:t>
      </w:r>
      <w:r>
        <w:t>ють</w:t>
      </w:r>
      <w:r w:rsidRPr="00404B27">
        <w:t>сяігровіметоди</w:t>
      </w:r>
      <w:proofErr w:type="spellEnd"/>
      <w:r>
        <w:t xml:space="preserve">, </w:t>
      </w:r>
      <w:proofErr w:type="spellStart"/>
      <w:r w:rsidRPr="00404B27">
        <w:t>акцентуєтьсяуваганаінформаційнихтехнологій</w:t>
      </w:r>
      <w:r w:rsidR="00876BFE">
        <w:t>у</w:t>
      </w:r>
      <w:proofErr w:type="spellEnd"/>
      <w:r w:rsidR="00876BFE">
        <w:t xml:space="preserve"> правозастосуванні</w:t>
      </w:r>
      <w:r>
        <w:t xml:space="preserve">. </w:t>
      </w:r>
      <w:proofErr w:type="spellStart"/>
      <w:r w:rsidRPr="00404B27">
        <w:t>Навчальніматеріали</w:t>
      </w:r>
      <w:proofErr w:type="spellEnd"/>
      <w:r w:rsidR="00876BFE">
        <w:t xml:space="preserve"> розміщенні в </w:t>
      </w:r>
      <w:proofErr w:type="spellStart"/>
      <w:r w:rsidR="00876BFE">
        <w:t>Tims</w:t>
      </w:r>
      <w:proofErr w:type="spellEnd"/>
      <w:r w:rsidR="00876BFE">
        <w:t>.</w:t>
      </w:r>
    </w:p>
    <w:permEnd w:id="765476952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750E4C" w:rsidRDefault="00646389" w:rsidP="00646389">
      <w:pPr>
        <w:pStyle w:val="4"/>
      </w:pPr>
      <w:permStart w:id="2061180478" w:edGrp="everyone"/>
      <w:r w:rsidRPr="00646389">
        <w:t xml:space="preserve">Тема 1. </w:t>
      </w:r>
      <w:r w:rsidR="00876BFE">
        <w:t>П</w:t>
      </w:r>
      <w:r w:rsidR="00876BFE" w:rsidRPr="00876BFE">
        <w:t>раво як соціальна система</w:t>
      </w:r>
      <w:r w:rsidR="00750E4C">
        <w:t xml:space="preserve">. </w:t>
      </w:r>
    </w:p>
    <w:p w:rsidR="00750E4C" w:rsidRDefault="00750E4C" w:rsidP="00750E4C">
      <w:r w:rsidRPr="00876BFE">
        <w:t xml:space="preserve">Поняття й ознаки </w:t>
      </w:r>
      <w:proofErr w:type="spellStart"/>
      <w:r w:rsidRPr="00876BFE">
        <w:t>права.Функції</w:t>
      </w:r>
      <w:proofErr w:type="spellEnd"/>
      <w:r w:rsidRPr="00876BFE">
        <w:t xml:space="preserve"> і принципи </w:t>
      </w:r>
      <w:proofErr w:type="spellStart"/>
      <w:r w:rsidRPr="00876BFE">
        <w:t>права.Система</w:t>
      </w:r>
      <w:proofErr w:type="spellEnd"/>
      <w:r w:rsidRPr="00876BFE">
        <w:t xml:space="preserve"> права і її </w:t>
      </w:r>
      <w:proofErr w:type="spellStart"/>
      <w:r w:rsidRPr="00876BFE">
        <w:t>структура.Джерела</w:t>
      </w:r>
      <w:proofErr w:type="spellEnd"/>
      <w:r w:rsidRPr="00876BFE">
        <w:t xml:space="preserve"> права.</w:t>
      </w:r>
    </w:p>
    <w:p w:rsidR="00750E4C" w:rsidRDefault="00DF40F7" w:rsidP="00750E4C">
      <w:pPr>
        <w:pStyle w:val="4"/>
      </w:pPr>
      <w:r w:rsidRPr="00DF40F7">
        <w:t>Тема 2. Конституційне право України.</w:t>
      </w:r>
    </w:p>
    <w:p w:rsidR="00750E4C" w:rsidRDefault="00750E4C" w:rsidP="00750E4C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750E4C" w:rsidRDefault="00750E4C" w:rsidP="00750E4C">
      <w:pPr>
        <w:pStyle w:val="4"/>
      </w:pPr>
      <w:r w:rsidRPr="00750E4C">
        <w:lastRenderedPageBreak/>
        <w:t>Тема 3. Цивільне право України як галузь права</w:t>
      </w:r>
      <w:r>
        <w:t>.</w:t>
      </w:r>
    </w:p>
    <w:p w:rsidR="00750E4C" w:rsidRDefault="00750E4C" w:rsidP="00750E4C">
      <w:r w:rsidRPr="00FA1D0E">
        <w:t>Предмет і метод цивільного права</w:t>
      </w:r>
      <w:r>
        <w:t xml:space="preserve">. </w:t>
      </w:r>
      <w:proofErr w:type="spellStart"/>
      <w:r w:rsidRPr="00FA1D0E">
        <w:t>Цивільнезаконодавство.Поняття</w:t>
      </w:r>
      <w:proofErr w:type="spellEnd"/>
      <w:r w:rsidRPr="00FA1D0E">
        <w:t xml:space="preserve"> і </w:t>
      </w:r>
      <w:proofErr w:type="spellStart"/>
      <w:r w:rsidRPr="00FA1D0E">
        <w:t>змістцивільногоправовідношення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750E4C" w:rsidRDefault="00750E4C" w:rsidP="00750E4C">
      <w:pPr>
        <w:pStyle w:val="4"/>
      </w:pPr>
      <w:r w:rsidRPr="00750E4C">
        <w:t>Тема 4. Суб’єкти цивільного права</w:t>
      </w:r>
      <w:r>
        <w:t>.</w:t>
      </w:r>
    </w:p>
    <w:p w:rsidR="00750E4C" w:rsidRDefault="00750E4C" w:rsidP="00750E4C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</w:p>
    <w:p w:rsidR="00750E4C" w:rsidRDefault="00750E4C" w:rsidP="00750E4C">
      <w:pPr>
        <w:pStyle w:val="4"/>
      </w:pPr>
      <w:r w:rsidRPr="00750E4C">
        <w:t>Тема 5. Цивільно-правовий договір</w:t>
      </w:r>
      <w:r>
        <w:t>.</w:t>
      </w:r>
    </w:p>
    <w:p w:rsidR="00750E4C" w:rsidRPr="00750E4C" w:rsidRDefault="00750E4C" w:rsidP="00750E4C">
      <w:r w:rsidRPr="00EE5346">
        <w:t>Поняття, значення та функції договору в цивільному праві.</w:t>
      </w:r>
      <w:r w:rsidRPr="00750E4C">
        <w:t xml:space="preserve"> Система цивільно-правових договорів.</w:t>
      </w:r>
    </w:p>
    <w:p w:rsidR="00750E4C" w:rsidRDefault="00750E4C" w:rsidP="00750E4C">
      <w:r w:rsidRPr="00EE5346">
        <w:t>Укладення, зміна та розірвання договору</w:t>
      </w:r>
      <w:r>
        <w:t xml:space="preserve">. </w:t>
      </w:r>
    </w:p>
    <w:p w:rsidR="00750E4C" w:rsidRDefault="00750E4C" w:rsidP="00750E4C">
      <w:pPr>
        <w:pStyle w:val="4"/>
      </w:pPr>
      <w:r w:rsidRPr="00750E4C">
        <w:t>Тема 6. Захист приватних прав.</w:t>
      </w:r>
    </w:p>
    <w:p w:rsidR="00750E4C" w:rsidRDefault="00750E4C" w:rsidP="00750E4C">
      <w:r w:rsidRPr="00024F26">
        <w:t xml:space="preserve">Поняття позову та його </w:t>
      </w:r>
      <w:proofErr w:type="spellStart"/>
      <w:r w:rsidRPr="00024F26">
        <w:t>ознаки.Позовна</w:t>
      </w:r>
      <w:proofErr w:type="spellEnd"/>
      <w:r w:rsidRPr="00024F26">
        <w:t xml:space="preserve"> </w:t>
      </w:r>
      <w:proofErr w:type="spellStart"/>
      <w:r w:rsidRPr="00024F26">
        <w:t>давність.Захист</w:t>
      </w:r>
      <w:proofErr w:type="spellEnd"/>
      <w:r w:rsidRPr="00024F26">
        <w:t xml:space="preserve"> прав суб'єктів цивільного </w:t>
      </w:r>
      <w:proofErr w:type="spellStart"/>
      <w:r w:rsidRPr="00024F26">
        <w:t>права.Захист</w:t>
      </w:r>
      <w:proofErr w:type="spellEnd"/>
      <w:r w:rsidRPr="00024F26">
        <w:t xml:space="preserve"> прав споживачів</w:t>
      </w:r>
      <w:r>
        <w:t xml:space="preserve">. </w:t>
      </w:r>
    </w:p>
    <w:p w:rsidR="00750E4C" w:rsidRDefault="00750E4C" w:rsidP="00750E4C">
      <w:pPr>
        <w:pStyle w:val="4"/>
      </w:pPr>
      <w:r w:rsidRPr="00750E4C">
        <w:t xml:space="preserve">Тема 7 Шлюбні та сімейні правовідносини. </w:t>
      </w:r>
    </w:p>
    <w:p w:rsidR="00750E4C" w:rsidRDefault="00750E4C" w:rsidP="00750E4C">
      <w:r w:rsidRPr="00C43ECD">
        <w:t xml:space="preserve">Шлюб та умови його укладання. Державна реєстрація </w:t>
      </w:r>
      <w:proofErr w:type="spellStart"/>
      <w:r w:rsidRPr="00C43ECD">
        <w:t>шлюбу.Майнові</w:t>
      </w:r>
      <w:proofErr w:type="spellEnd"/>
      <w:r w:rsidRPr="00C43ECD">
        <w:t xml:space="preserve"> відносини в шлюбі і сім’ї</w:t>
      </w:r>
      <w:r>
        <w:t xml:space="preserve">. </w:t>
      </w:r>
      <w:r w:rsidRPr="00C43ECD">
        <w:t xml:space="preserve">Особисті немайнові відносини в шлюбі і </w:t>
      </w:r>
      <w:proofErr w:type="spellStart"/>
      <w:r w:rsidRPr="00C43ECD">
        <w:t>сім’ї.Припинення</w:t>
      </w:r>
      <w:proofErr w:type="spellEnd"/>
      <w:r w:rsidRPr="00C43ECD">
        <w:t xml:space="preserve"> шлюбу.</w:t>
      </w:r>
    </w:p>
    <w:p w:rsidR="00750E4C" w:rsidRDefault="00750E4C" w:rsidP="00750E4C">
      <w:pPr>
        <w:pStyle w:val="4"/>
      </w:pPr>
      <w:r w:rsidRPr="00750E4C">
        <w:t xml:space="preserve">Тема 8 Трудові правовідносини. </w:t>
      </w:r>
    </w:p>
    <w:p w:rsidR="00750E4C" w:rsidRPr="00750E4C" w:rsidRDefault="00750E4C" w:rsidP="00750E4C">
      <w:r w:rsidRPr="00D91AB9">
        <w:t>Трудове право як галузь права.</w:t>
      </w:r>
    </w:p>
    <w:p w:rsidR="00750E4C" w:rsidRDefault="00750E4C" w:rsidP="00750E4C">
      <w:r w:rsidRPr="00D91AB9">
        <w:t>Поняття, сторони та зміст трудового договору</w:t>
      </w:r>
      <w:r>
        <w:t xml:space="preserve">. </w:t>
      </w:r>
      <w:r w:rsidRPr="00D91AB9">
        <w:t xml:space="preserve">Трудовий контракт як особлива форма трудового </w:t>
      </w:r>
      <w:proofErr w:type="spellStart"/>
      <w:r w:rsidRPr="00D91AB9">
        <w:t>договору.Підстави</w:t>
      </w:r>
      <w:proofErr w:type="spellEnd"/>
      <w:r w:rsidRPr="00D91AB9">
        <w:t xml:space="preserve"> припинення трудових </w:t>
      </w:r>
      <w:proofErr w:type="spellStart"/>
      <w:r w:rsidRPr="00D91AB9">
        <w:t>правовідносин.Матеріальна</w:t>
      </w:r>
      <w:proofErr w:type="spellEnd"/>
      <w:r w:rsidRPr="00D91AB9">
        <w:t xml:space="preserve"> відповідальність </w:t>
      </w:r>
      <w:proofErr w:type="spellStart"/>
      <w:r w:rsidRPr="00D91AB9">
        <w:t>працівників.Порядок</w:t>
      </w:r>
      <w:proofErr w:type="spellEnd"/>
      <w:r w:rsidRPr="00D91AB9">
        <w:t xml:space="preserve"> розгляду індивідуальних </w:t>
      </w:r>
      <w:proofErr w:type="spellStart"/>
      <w:r w:rsidRPr="00D91AB9">
        <w:t>спорів.Порядок</w:t>
      </w:r>
      <w:proofErr w:type="spellEnd"/>
      <w:r w:rsidRPr="00D91AB9">
        <w:t xml:space="preserve"> вирішення колективних спорів (конфліктів)</w:t>
      </w:r>
      <w:proofErr w:type="spellStart"/>
      <w:r w:rsidRPr="00D91AB9">
        <w:t>.Поняття</w:t>
      </w:r>
      <w:proofErr w:type="spellEnd"/>
      <w:r w:rsidRPr="00D91AB9">
        <w:t xml:space="preserve"> соціального захисту і соціального </w:t>
      </w:r>
      <w:proofErr w:type="spellStart"/>
      <w:r w:rsidRPr="00D91AB9">
        <w:t>забезпечення.Пенсійне</w:t>
      </w:r>
      <w:proofErr w:type="spellEnd"/>
      <w:r w:rsidRPr="00D91AB9">
        <w:t xml:space="preserve"> забезпечення в Україні.</w:t>
      </w:r>
    </w:p>
    <w:p w:rsidR="00750E4C" w:rsidRPr="00750E4C" w:rsidRDefault="00750E4C" w:rsidP="00750E4C">
      <w:pPr>
        <w:pStyle w:val="4"/>
      </w:pPr>
      <w:r w:rsidRPr="00750E4C">
        <w:t xml:space="preserve">Тема 9. Основи адміністративного та кримінального права України. </w:t>
      </w:r>
    </w:p>
    <w:p w:rsidR="00D91AB9" w:rsidRPr="00D91AB9" w:rsidRDefault="00D91AB9" w:rsidP="00D91AB9">
      <w:r w:rsidRPr="00D91AB9">
        <w:t xml:space="preserve">Адміністративні правовідносини: поняття та їх </w:t>
      </w:r>
      <w:proofErr w:type="spellStart"/>
      <w:r w:rsidRPr="00D91AB9">
        <w:t>види.Поняття</w:t>
      </w:r>
      <w:proofErr w:type="spellEnd"/>
      <w:r w:rsidRPr="00D91AB9">
        <w:t xml:space="preserve"> та ознаки адміністративного </w:t>
      </w:r>
      <w:proofErr w:type="spellStart"/>
      <w:r w:rsidRPr="00D91AB9">
        <w:t>правопорушення.Види</w:t>
      </w:r>
      <w:proofErr w:type="spellEnd"/>
      <w:r w:rsidRPr="00D91AB9">
        <w:t xml:space="preserve"> адміністративних </w:t>
      </w:r>
      <w:proofErr w:type="spellStart"/>
      <w:r w:rsidRPr="00D91AB9">
        <w:t>стягнень.Кримінальне</w:t>
      </w:r>
      <w:proofErr w:type="spellEnd"/>
      <w:r w:rsidRPr="00D91AB9">
        <w:t xml:space="preserve"> право як галузь права.</w:t>
      </w:r>
    </w:p>
    <w:p w:rsidR="00D91AB9" w:rsidRPr="00D91AB9" w:rsidRDefault="00D91AB9" w:rsidP="00D91AB9">
      <w:r w:rsidRPr="00D91AB9">
        <w:t>Поняття кримінального правопорушення та відповідальність за його скоєння.</w:t>
      </w:r>
    </w:p>
    <w:p w:rsidR="00D91AB9" w:rsidRPr="00C43ECD" w:rsidRDefault="00D91AB9" w:rsidP="00D91AB9">
      <w:r w:rsidRPr="00D91AB9">
        <w:t>Порядок притягнення до адміністративної  та кримінальної відповідальності.</w:t>
      </w:r>
    </w:p>
    <w:p w:rsidR="00DB5076" w:rsidRDefault="00DB5076" w:rsidP="00024F26"/>
    <w:permEnd w:id="2061180478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994C5E" w:rsidRPr="00994C5E" w:rsidRDefault="00D51A18" w:rsidP="00994C5E">
      <w:pPr>
        <w:pStyle w:val="4"/>
      </w:pPr>
      <w:permStart w:id="1977842812" w:edGrp="everyone"/>
      <w:r>
        <w:t>Тема</w:t>
      </w:r>
      <w:r w:rsidR="00DB717D">
        <w:t xml:space="preserve"> 1. </w:t>
      </w:r>
      <w:r w:rsidR="00994C5E">
        <w:t>П</w:t>
      </w:r>
      <w:r w:rsidR="00994C5E" w:rsidRPr="00994C5E">
        <w:t>раво: основні поняття</w:t>
      </w:r>
      <w:r w:rsidR="00994C5E">
        <w:t>.</w:t>
      </w:r>
    </w:p>
    <w:p w:rsidR="00994C5E" w:rsidRPr="00994C5E" w:rsidRDefault="00994C5E" w:rsidP="00994C5E">
      <w:r w:rsidRPr="00994C5E">
        <w:rPr>
          <w:lang w:val="ru-RU"/>
        </w:rPr>
        <w:t xml:space="preserve">Право: </w:t>
      </w:r>
      <w:proofErr w:type="spellStart"/>
      <w:r w:rsidRPr="00994C5E">
        <w:rPr>
          <w:lang w:val="ru-RU"/>
        </w:rPr>
        <w:t>поняття</w:t>
      </w:r>
      <w:proofErr w:type="spellEnd"/>
      <w:r w:rsidRPr="00994C5E">
        <w:rPr>
          <w:lang w:val="ru-RU"/>
        </w:rPr>
        <w:t xml:space="preserve">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0B5AE4" w:rsidRDefault="00D51A18" w:rsidP="00994C5E">
      <w:pPr>
        <w:pStyle w:val="4"/>
      </w:pPr>
      <w:r w:rsidRPr="00D51A18">
        <w:t xml:space="preserve">Тема </w:t>
      </w:r>
      <w:r w:rsidR="00DB717D">
        <w:t>2.</w:t>
      </w:r>
      <w:r w:rsidR="000B5AE4" w:rsidRPr="00DF40F7">
        <w:t>Конституційне право України.</w:t>
      </w:r>
    </w:p>
    <w:p w:rsidR="001A6BAE" w:rsidRPr="001A6BAE" w:rsidRDefault="001A6BAE" w:rsidP="001A6BAE">
      <w:r>
        <w:t>Конституційний лад в Україні. Правовий статус людини і громадянина в Україні.</w:t>
      </w:r>
    </w:p>
    <w:p w:rsidR="00994C5E" w:rsidRPr="00994C5E" w:rsidRDefault="000B5AE4" w:rsidP="00994C5E">
      <w:pPr>
        <w:pStyle w:val="4"/>
      </w:pPr>
      <w:r>
        <w:t>Тема 3</w:t>
      </w:r>
      <w:r w:rsidRPr="00DF40F7">
        <w:t>.</w:t>
      </w:r>
      <w:r w:rsidR="00994C5E">
        <w:t>Ц</w:t>
      </w:r>
      <w:r w:rsidR="00994C5E" w:rsidRPr="00994C5E">
        <w:t>ивільні правовідносини</w:t>
      </w:r>
      <w:r w:rsidR="00994C5E">
        <w:t>.</w:t>
      </w:r>
    </w:p>
    <w:p w:rsidR="00994C5E" w:rsidRPr="00994C5E" w:rsidRDefault="00994C5E" w:rsidP="00994C5E">
      <w:r w:rsidRPr="00994C5E">
        <w:t>Поняття, зміст та ознаки цивільних правовідносин. Майнові правовідносини, їх характеристика</w:t>
      </w:r>
    </w:p>
    <w:p w:rsidR="00994C5E" w:rsidRPr="00994C5E" w:rsidRDefault="00994C5E" w:rsidP="00994C5E">
      <w:r w:rsidRPr="00994C5E">
        <w:t>Право власності. Особисті немайнові правовідносини.</w:t>
      </w:r>
    </w:p>
    <w:p w:rsidR="0050425C" w:rsidRDefault="00D51A18" w:rsidP="0050425C">
      <w:pPr>
        <w:pStyle w:val="4"/>
      </w:pPr>
      <w:r w:rsidRPr="00D51A18">
        <w:t xml:space="preserve">Тема </w:t>
      </w:r>
      <w:r w:rsidR="00DB717D">
        <w:t xml:space="preserve">3. </w:t>
      </w:r>
      <w:r w:rsidR="00994C5E">
        <w:t>П</w:t>
      </w:r>
      <w:r w:rsidR="00994C5E" w:rsidRPr="00994C5E">
        <w:t xml:space="preserve">равочини. </w:t>
      </w:r>
    </w:p>
    <w:p w:rsidR="001A6BAE" w:rsidRPr="0050425C" w:rsidRDefault="0050425C" w:rsidP="001A6BAE">
      <w:r w:rsidRPr="0050425C">
        <w:t xml:space="preserve">Поняття правочинів, умови їх дійсності. </w:t>
      </w:r>
    </w:p>
    <w:p w:rsidR="0050425C" w:rsidRDefault="0050425C" w:rsidP="0050425C">
      <w:pPr>
        <w:pStyle w:val="4"/>
      </w:pPr>
      <w:r w:rsidRPr="0050425C">
        <w:t xml:space="preserve">Тема 4 </w:t>
      </w:r>
      <w:r w:rsidR="001A6BAE">
        <w:t>Ц</w:t>
      </w:r>
      <w:r w:rsidR="001A6BAE" w:rsidRPr="001A6BAE">
        <w:t>ивільно-правовий договір</w:t>
      </w:r>
      <w:r w:rsidR="001A6BAE" w:rsidRPr="001A6BAE">
        <w:rPr>
          <w:lang w:val="ru-RU"/>
        </w:rPr>
        <w:t>.</w:t>
      </w:r>
    </w:p>
    <w:p w:rsidR="001A6BAE" w:rsidRPr="001A6BAE" w:rsidRDefault="001A6BAE" w:rsidP="001A6BAE">
      <w:r w:rsidRPr="0050425C">
        <w:t>Цивільно-правовий договір: поняття та види.</w:t>
      </w:r>
    </w:p>
    <w:p w:rsidR="001A6BAE" w:rsidRPr="001A6BAE" w:rsidRDefault="001A6BAE" w:rsidP="001A6BAE">
      <w:pPr>
        <w:rPr>
          <w:lang w:val="ru-RU"/>
        </w:rPr>
      </w:pPr>
      <w:r w:rsidRPr="0050425C">
        <w:t>Зміст цивільно-правового договору. Відповідальність сторін за порушення умов договору.</w:t>
      </w:r>
    </w:p>
    <w:p w:rsidR="0050425C" w:rsidRDefault="0050425C" w:rsidP="0050425C">
      <w:pPr>
        <w:pStyle w:val="4"/>
      </w:pPr>
      <w:r w:rsidRPr="0050425C">
        <w:t xml:space="preserve">Тема </w:t>
      </w:r>
      <w:r>
        <w:t>5</w:t>
      </w:r>
      <w:r w:rsidR="002E2BFA" w:rsidRPr="00750E4C">
        <w:t>Шлюбні та сімейні правовідносини.</w:t>
      </w:r>
    </w:p>
    <w:p w:rsidR="002E2BFA" w:rsidRPr="002E2BFA" w:rsidRDefault="002E2BFA" w:rsidP="002E2BFA">
      <w:r w:rsidRPr="00C43ECD">
        <w:t xml:space="preserve">Державна реєстрація </w:t>
      </w:r>
      <w:proofErr w:type="spellStart"/>
      <w:r w:rsidRPr="00C43ECD">
        <w:t>шлюбу.Майнові</w:t>
      </w:r>
      <w:proofErr w:type="spellEnd"/>
      <w:r w:rsidRPr="00C43ECD">
        <w:t xml:space="preserve"> відносини в шлюбі і сім’ї</w:t>
      </w:r>
      <w:r>
        <w:t xml:space="preserve">. </w:t>
      </w:r>
      <w:r w:rsidRPr="00C43ECD">
        <w:t xml:space="preserve">Особисті немайнові відносини в шлюбі і </w:t>
      </w:r>
      <w:proofErr w:type="spellStart"/>
      <w:r w:rsidRPr="00C43ECD">
        <w:t>сім’ї.Припинення</w:t>
      </w:r>
      <w:proofErr w:type="spellEnd"/>
      <w:r w:rsidRPr="00C43ECD">
        <w:t xml:space="preserve"> шлюбу.</w:t>
      </w:r>
    </w:p>
    <w:p w:rsidR="0050425C" w:rsidRDefault="0050425C" w:rsidP="0050425C">
      <w:pPr>
        <w:pStyle w:val="4"/>
      </w:pPr>
      <w:r w:rsidRPr="0050425C">
        <w:t xml:space="preserve">Тема </w:t>
      </w:r>
      <w:r>
        <w:t>6</w:t>
      </w:r>
      <w:r w:rsidR="002E2BFA" w:rsidRPr="00750E4C">
        <w:t>Трудові правовідносини.</w:t>
      </w:r>
    </w:p>
    <w:p w:rsidR="002E2BFA" w:rsidRPr="002E2BFA" w:rsidRDefault="002E2BFA" w:rsidP="002E2BFA">
      <w:r w:rsidRPr="00D91AB9">
        <w:t xml:space="preserve">Трудовий контракт як особлива форма трудового </w:t>
      </w:r>
      <w:proofErr w:type="spellStart"/>
      <w:r w:rsidRPr="00D91AB9">
        <w:t>договору.Підстави</w:t>
      </w:r>
      <w:proofErr w:type="spellEnd"/>
      <w:r w:rsidRPr="00D91AB9">
        <w:t xml:space="preserve"> припинення трудових </w:t>
      </w:r>
      <w:proofErr w:type="spellStart"/>
      <w:r w:rsidRPr="00D91AB9">
        <w:t>правовідносин.Матеріальна</w:t>
      </w:r>
      <w:proofErr w:type="spellEnd"/>
      <w:r w:rsidRPr="00D91AB9">
        <w:t xml:space="preserve"> відповідальність </w:t>
      </w:r>
      <w:proofErr w:type="spellStart"/>
      <w:r w:rsidRPr="00D91AB9">
        <w:t>працівників.Порядок</w:t>
      </w:r>
      <w:proofErr w:type="spellEnd"/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50425C" w:rsidRDefault="0050425C" w:rsidP="0050425C">
      <w:pPr>
        <w:pStyle w:val="4"/>
      </w:pPr>
      <w:r w:rsidRPr="0050425C">
        <w:t xml:space="preserve">Тема </w:t>
      </w:r>
      <w:r>
        <w:t>7</w:t>
      </w:r>
      <w:r w:rsidR="002E2BFA" w:rsidRPr="00750E4C">
        <w:t>Основи адміністративного та кримінального права України.</w:t>
      </w:r>
    </w:p>
    <w:p w:rsidR="002E2BFA" w:rsidRPr="002E2BFA" w:rsidRDefault="002E2BFA" w:rsidP="002E2BFA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</w:p>
    <w:p w:rsidR="002E2BFA" w:rsidRPr="002E2BFA" w:rsidRDefault="002E2BFA" w:rsidP="002E2BFA"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1977842812"/>
    <w:p w:rsidR="004419B6" w:rsidRPr="004419B6" w:rsidRDefault="004419B6" w:rsidP="004419B6"/>
    <w:p w:rsidR="00DB717D" w:rsidRDefault="00DB717D" w:rsidP="00DB717D">
      <w:pPr>
        <w:pStyle w:val="3"/>
      </w:pPr>
      <w:r w:rsidRPr="00DB717D">
        <w:lastRenderedPageBreak/>
        <w:t>Теми лабораторних робіт</w:t>
      </w:r>
    </w:p>
    <w:p w:rsidR="00DB717D" w:rsidRDefault="00B94B7C" w:rsidP="00DB717D">
      <w:pPr>
        <w:rPr>
          <w:lang w:eastAsia="ru-RU"/>
        </w:rPr>
      </w:pPr>
      <w:permStart w:id="1775720946" w:edGrp="everyone"/>
      <w:proofErr w:type="spellStart"/>
      <w:r w:rsidRPr="00B94B7C">
        <w:t>Лабораторніроботиврамкахдисциплінинепередбачені</w:t>
      </w:r>
      <w:proofErr w:type="spellEnd"/>
      <w:r>
        <w:t>.</w:t>
      </w:r>
    </w:p>
    <w:permEnd w:id="1775720946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D44C9B" w:rsidRDefault="00B94B7C" w:rsidP="004419B6">
      <w:permStart w:id="135469310" w:edGrp="everyone"/>
      <w:proofErr w:type="spellStart"/>
      <w:r w:rsidRPr="00B94B7C">
        <w:t>Курспередбачає</w:t>
      </w:r>
      <w:proofErr w:type="spellEnd"/>
      <w:r>
        <w:t xml:space="preserve"> о</w:t>
      </w:r>
      <w:r w:rsidRPr="00B94B7C">
        <w:t>працьовування лекційного матеріалу</w:t>
      </w:r>
      <w:r>
        <w:t>, 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 xml:space="preserve">амостійне вивчення тем та питань, які не </w:t>
      </w:r>
      <w:proofErr w:type="spellStart"/>
      <w:r w:rsidRPr="00B94B7C">
        <w:t>викладаютьсяна</w:t>
      </w:r>
      <w:proofErr w:type="spellEnd"/>
      <w:r w:rsidRPr="00B94B7C">
        <w:t xml:space="preserve"> лекційних заняттях</w:t>
      </w:r>
      <w:r>
        <w:t>.</w:t>
      </w:r>
    </w:p>
    <w:p w:rsidR="00A631F1" w:rsidRDefault="00D44C9B" w:rsidP="004419B6">
      <w:proofErr w:type="spellStart"/>
      <w:r w:rsidRPr="00D44C9B">
        <w:t>Студентамтакожрекомендуютьсядодатковіматеріали</w:t>
      </w:r>
      <w:proofErr w:type="spellEnd"/>
      <w:r>
        <w:t xml:space="preserve"> (офіційні сайти органів державної влади, судових органів влади ) </w:t>
      </w:r>
      <w:proofErr w:type="spellStart"/>
      <w:r w:rsidRPr="00D44C9B">
        <w:t>длясамостійноговивченнятааналізу</w:t>
      </w:r>
      <w:proofErr w:type="spellEnd"/>
      <w:r>
        <w:t>.</w:t>
      </w:r>
    </w:p>
    <w:permEnd w:id="135469310"/>
    <w:p w:rsidR="00A631F1" w:rsidRDefault="00A631F1" w:rsidP="004419B6">
      <w:pPr>
        <w:rPr>
          <w:lang w:eastAsia="ru-RU"/>
        </w:rPr>
      </w:pPr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D44C9B" w:rsidRPr="00D44C9B" w:rsidRDefault="00D44C9B" w:rsidP="00D44C9B">
      <w:permStart w:id="1681355685" w:edGrp="everyone"/>
      <w:r w:rsidRPr="00D44C9B">
        <w:t>1.</w:t>
      </w:r>
      <w:r w:rsidRPr="00D44C9B">
        <w:tab/>
        <w:t xml:space="preserve">Правознавство: Хрестоматія / </w:t>
      </w:r>
      <w:proofErr w:type="spellStart"/>
      <w:r w:rsidRPr="00D44C9B">
        <w:t>Упоряд</w:t>
      </w:r>
      <w:proofErr w:type="spellEnd"/>
      <w:r w:rsidRPr="00D44C9B">
        <w:t xml:space="preserve">.: Л. В. </w:t>
      </w:r>
      <w:proofErr w:type="spellStart"/>
      <w:r w:rsidRPr="00D44C9B">
        <w:t>Перевалова</w:t>
      </w:r>
      <w:proofErr w:type="spellEnd"/>
      <w:r w:rsidRPr="00D44C9B">
        <w:t xml:space="preserve">,В.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О. В. Кузьменко – Харків: НТУ «ХПІ», 2019 – 220 с.– Режим доступу:http://web.kpi.kharkov.ua/pravo/wp-content/uploads/sites/90/2019/06/Pravoznavstvo.-HRESTOMATIYA.doc</w:t>
      </w:r>
    </w:p>
    <w:p w:rsidR="00D44C9B" w:rsidRPr="00D44C9B" w:rsidRDefault="00D44C9B" w:rsidP="00D44C9B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ПановА.М</w:t>
      </w:r>
      <w:proofErr w:type="spellEnd"/>
      <w:r w:rsidRPr="00D44C9B">
        <w:t>., 2020. 68 с. – Режим доступу:http://web.kpi.kharkov.ua/pravo/wp-content/uploads/sites/90/2021/05/NMP-PR-VR-YES-2020.docx</w:t>
      </w:r>
    </w:p>
    <w:p w:rsidR="00D44C9B" w:rsidRPr="00D44C9B" w:rsidRDefault="00D44C9B" w:rsidP="00D44C9B">
      <w:r w:rsidRPr="00D44C9B">
        <w:t>3.</w:t>
      </w:r>
      <w:r w:rsidRPr="00D44C9B">
        <w:tab/>
        <w:t xml:space="preserve">Тезаурус з правознавства: / </w:t>
      </w:r>
      <w:proofErr w:type="spellStart"/>
      <w:r w:rsidRPr="00D44C9B">
        <w:t>ПереваловаЛ.В</w:t>
      </w:r>
      <w:proofErr w:type="spellEnd"/>
      <w:r w:rsidRPr="00D44C9B">
        <w:t xml:space="preserve">., </w:t>
      </w:r>
      <w:proofErr w:type="spellStart"/>
      <w:r w:rsidRPr="00D44C9B">
        <w:t>ГаєваяО.В</w:t>
      </w:r>
      <w:proofErr w:type="spellEnd"/>
      <w:r w:rsidRPr="00D44C9B">
        <w:t xml:space="preserve">., </w:t>
      </w:r>
      <w:proofErr w:type="spellStart"/>
      <w:r w:rsidRPr="00D44C9B">
        <w:t>ГаряєваГ.М</w:t>
      </w:r>
      <w:proofErr w:type="spellEnd"/>
      <w:r w:rsidRPr="00D44C9B">
        <w:t>., Кузьменко О.В., Лисенко І.В., Ткачов М.М. – Харків НТУ «ХПІ», 2021. – 194с.– Режим доступу: http://web.kpi.kharkov.ua/pravo/wp-content/uploads/sites/90/2021/09/tezaurus_vychitka-eng-16.06.2021docx-1.docx</w:t>
      </w:r>
    </w:p>
    <w:p w:rsidR="00D44C9B" w:rsidRPr="00D44C9B" w:rsidRDefault="00D44C9B" w:rsidP="00D44C9B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ПановА.М</w:t>
      </w:r>
      <w:proofErr w:type="spellEnd"/>
      <w:r w:rsidRPr="00D44C9B">
        <w:t>., 2020. 50 с. – Режим доступу:http://web.kpi.kharkov.ua/pravo/wp-content/uploads/sites/90/2020/10/Metodposibnik-PZUD-2-1.docx</w:t>
      </w:r>
    </w:p>
    <w:p w:rsidR="00F63121" w:rsidRDefault="00D44C9B" w:rsidP="000B3985">
      <w:pPr>
        <w:tabs>
          <w:tab w:val="left" w:pos="0"/>
          <w:tab w:val="left" w:pos="34"/>
        </w:tabs>
        <w:spacing w:line="192" w:lineRule="auto"/>
        <w:jc w:val="both"/>
      </w:pPr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 / уклад.: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 xml:space="preserve">, І. В. Лисенко, Л. В. </w:t>
      </w:r>
      <w:proofErr w:type="spellStart"/>
      <w:r w:rsidRPr="00D44C9B">
        <w:t>Перевалова</w:t>
      </w:r>
      <w:proofErr w:type="spellEnd"/>
      <w:r w:rsidRPr="00D44C9B">
        <w:t>. – Харків: НТУ «ХПІ», 2021 – 128 с. – Режим доступу:http://web.kpi.kharkov.ua/pravo/wp-content/uploads/sites/90/2021/06/Metodichni-vkazivki_dlya-napisannya-kr-dlya-zo-1-1.docx</w:t>
      </w:r>
      <w:permEnd w:id="1681355685"/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br/>
              <w:t>та розподіл балів</w:t>
            </w:r>
          </w:p>
          <w:p w:rsidR="006C440D" w:rsidRPr="00E22D4B" w:rsidRDefault="006C440D" w:rsidP="006C440D">
            <w:permStart w:id="988569580" w:edGrp="everyone"/>
            <w:r w:rsidRPr="00E22D4B">
              <w:t xml:space="preserve">Критерії оцінювання успішності студента та розподіл балів </w:t>
            </w:r>
          </w:p>
          <w:p w:rsidR="006C440D" w:rsidRPr="00E22D4B" w:rsidRDefault="006C440D" w:rsidP="006C440D">
            <w:r w:rsidRPr="00E22D4B">
              <w:t xml:space="preserve">100% підсумкової оцінки складаються з результатів оцінювання у вигляді </w:t>
            </w:r>
            <w:r>
              <w:t>диференційованого заліку</w:t>
            </w:r>
            <w:r w:rsidRPr="00E22D4B">
              <w:t xml:space="preserve"> (40%) та поточного оцінювання (60%). </w:t>
            </w:r>
          </w:p>
          <w:p w:rsidR="006C440D" w:rsidRPr="00E22D4B" w:rsidRDefault="006C440D" w:rsidP="006C440D">
            <w:r>
              <w:t>Д</w:t>
            </w:r>
            <w:r w:rsidRPr="00E22D4B">
              <w:t>иференційован</w:t>
            </w:r>
            <w:r>
              <w:t>ий</w:t>
            </w:r>
            <w:r w:rsidRPr="00E22D4B">
              <w:t xml:space="preserve"> залік: </w:t>
            </w:r>
            <w:r>
              <w:t xml:space="preserve">усне </w:t>
            </w:r>
            <w:r w:rsidRPr="00E22D4B">
              <w:t xml:space="preserve">завдання (2 запитання з теорії) та усна доповідь. </w:t>
            </w:r>
          </w:p>
          <w:p w:rsidR="00F63121" w:rsidRPr="00752BDE" w:rsidRDefault="006C440D" w:rsidP="006C440D">
            <w:r w:rsidRPr="00E22D4B">
              <w:t>Поточне оцінювання</w:t>
            </w:r>
            <w:r w:rsidRPr="006C440D">
              <w:t xml:space="preserve">: 2 </w:t>
            </w:r>
            <w:proofErr w:type="spellStart"/>
            <w:r w:rsidRPr="006C440D">
              <w:t>онлайн</w:t>
            </w:r>
            <w:proofErr w:type="spellEnd"/>
            <w:r w:rsidRPr="006C440D">
              <w:t xml:space="preserve"> тести та вирішення практичних завдань  (по 20%). </w:t>
            </w:r>
          </w:p>
          <w:permEnd w:id="988569580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324287215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lastRenderedPageBreak/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7" w:history="1">
        <w:r w:rsidRPr="00E2118C">
          <w:rPr>
            <w:rStyle w:val="a5"/>
          </w:rPr>
          <w:t>http://blogs.kpi.kharkov.ua/v2/nv/akademichna-dobrochesnist/</w:t>
        </w:r>
      </w:hyperlink>
    </w:p>
    <w:permEnd w:id="324287215"/>
    <w:p w:rsidR="00B14439" w:rsidRDefault="00B14439" w:rsidP="0075767F"/>
    <w:p w:rsidR="00B14439" w:rsidRDefault="00B14439" w:rsidP="00B14439">
      <w:pPr>
        <w:pStyle w:val="2"/>
      </w:pPr>
      <w:permStart w:id="458042591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2270D2" w:rsidP="00B14439">
            <w:r w:rsidRPr="002270D2">
              <w:t xml:space="preserve">25.08.2023           , </w:t>
            </w:r>
            <w:bookmarkStart w:id="0" w:name="_GoBack"/>
            <w:bookmarkEnd w:id="0"/>
            <w:r w:rsidRPr="002270D2">
              <w:drawing>
                <wp:inline distT="0" distB="0" distL="0" distR="0" wp14:anchorId="6467481C" wp14:editId="69463668">
                  <wp:extent cx="754380" cy="4038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D44C9B" w:rsidP="00D44C9B">
            <w:r>
              <w:t>Ірина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B40109" w:rsidP="00B14439">
            <w:r>
              <w:t>Олена ЛIНЬКОВА</w:t>
            </w:r>
          </w:p>
        </w:tc>
      </w:tr>
      <w:permEnd w:id="458042591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31" w:rsidRDefault="00622931" w:rsidP="00C06EE9">
      <w:r>
        <w:separator/>
      </w:r>
    </w:p>
  </w:endnote>
  <w:endnote w:type="continuationSeparator" w:id="0">
    <w:p w:rsidR="00622931" w:rsidRDefault="00622931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622931" w:rsidP="00C06EE9">
    <w:pPr>
      <w:pStyle w:val="ab"/>
      <w:jc w:val="right"/>
    </w:pPr>
    <w:r>
      <w:rPr>
        <w:noProof/>
        <w:lang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left:0;text-align:left;margin-left:-6.45pt;margin-top:784.55pt;width:316.5pt;height:21.7pt;z-index:251659264;visibility:visibl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<v:textbox>
            <w:txbxContent>
              <w:sdt>
                <w:sdtPr>
                  <w:alias w:val="Title"/>
                  <w:tag w:val=""/>
                  <w:id w:val="-1447222568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DD297D" w:rsidRPr="00DD297D" w:rsidRDefault="00285AC1" w:rsidP="00DD297D">
                    <w:pPr>
                      <w:pStyle w:val="FooterText"/>
                    </w:pPr>
                    <w:r>
                      <w:rPr>
                        <w:lang w:val="ru-RU"/>
                      </w:rPr>
                      <w:t>Правознавство</w:t>
                    </w:r>
                  </w:p>
                </w:sdtContent>
              </w:sdt>
            </w:txbxContent>
          </v:textbox>
          <w10:wrap anchory="page"/>
        </v:shape>
      </w:pict>
    </w:r>
    <w:r w:rsidR="00C06EE9">
      <w:rPr>
        <w:noProof/>
        <w:lang w:val="ru-RU" w:eastAsia="ru-RU"/>
      </w:rPr>
      <w:drawing>
        <wp:inline distT="0" distB="0" distL="0" distR="0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31" w:rsidRDefault="00622931" w:rsidP="00C06EE9">
      <w:r>
        <w:separator/>
      </w:r>
    </w:p>
  </w:footnote>
  <w:footnote w:type="continuationSeparator" w:id="0">
    <w:p w:rsidR="00622931" w:rsidRDefault="00622931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352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CD5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A3373"/>
    <w:multiLevelType w:val="hybridMultilevel"/>
    <w:tmpl w:val="1300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B1120"/>
    <w:multiLevelType w:val="hybridMultilevel"/>
    <w:tmpl w:val="3590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F4B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6EC1D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A7B055C"/>
    <w:multiLevelType w:val="hybridMultilevel"/>
    <w:tmpl w:val="7BBE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6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1345A5"/>
    <w:multiLevelType w:val="hybridMultilevel"/>
    <w:tmpl w:val="3F16A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47A1E"/>
    <w:multiLevelType w:val="singleLevel"/>
    <w:tmpl w:val="8AF6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3"/>
  </w:num>
  <w:num w:numId="34">
    <w:abstractNumId w:val="14"/>
    <w:lvlOverride w:ilvl="0">
      <w:startOverride w:val="1"/>
    </w:lvlOverride>
  </w:num>
  <w:num w:numId="35">
    <w:abstractNumId w:val="18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/>
  <w:styleLockTheme/>
  <w:styleLockQFSet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F417A"/>
    <w:rsid w:val="00013EAA"/>
    <w:rsid w:val="0001622F"/>
    <w:rsid w:val="00024F26"/>
    <w:rsid w:val="00037752"/>
    <w:rsid w:val="000500DA"/>
    <w:rsid w:val="000812C7"/>
    <w:rsid w:val="000B1877"/>
    <w:rsid w:val="000B3985"/>
    <w:rsid w:val="000B45CE"/>
    <w:rsid w:val="000B5AE4"/>
    <w:rsid w:val="000F417A"/>
    <w:rsid w:val="00102A39"/>
    <w:rsid w:val="001078C9"/>
    <w:rsid w:val="00150B3D"/>
    <w:rsid w:val="001528D0"/>
    <w:rsid w:val="00165405"/>
    <w:rsid w:val="0017389F"/>
    <w:rsid w:val="001A69EB"/>
    <w:rsid w:val="001A6BAE"/>
    <w:rsid w:val="001B2A58"/>
    <w:rsid w:val="001B2FD3"/>
    <w:rsid w:val="001D12B1"/>
    <w:rsid w:val="001E763B"/>
    <w:rsid w:val="001F3C0F"/>
    <w:rsid w:val="00200622"/>
    <w:rsid w:val="00202E0B"/>
    <w:rsid w:val="00212E99"/>
    <w:rsid w:val="00214DA9"/>
    <w:rsid w:val="002245E1"/>
    <w:rsid w:val="002270D2"/>
    <w:rsid w:val="00252194"/>
    <w:rsid w:val="002566CE"/>
    <w:rsid w:val="0026076C"/>
    <w:rsid w:val="00285AC1"/>
    <w:rsid w:val="002865E0"/>
    <w:rsid w:val="00296411"/>
    <w:rsid w:val="002A7342"/>
    <w:rsid w:val="002D6D9B"/>
    <w:rsid w:val="002E2BFA"/>
    <w:rsid w:val="002F2CD5"/>
    <w:rsid w:val="002F5364"/>
    <w:rsid w:val="00357A9E"/>
    <w:rsid w:val="00371D61"/>
    <w:rsid w:val="003768CC"/>
    <w:rsid w:val="00383BF5"/>
    <w:rsid w:val="003C0CF1"/>
    <w:rsid w:val="003E6EBE"/>
    <w:rsid w:val="003F5A91"/>
    <w:rsid w:val="003F766B"/>
    <w:rsid w:val="00404B27"/>
    <w:rsid w:val="0040785D"/>
    <w:rsid w:val="00415EA4"/>
    <w:rsid w:val="004202CC"/>
    <w:rsid w:val="00436EA4"/>
    <w:rsid w:val="004419B6"/>
    <w:rsid w:val="00452482"/>
    <w:rsid w:val="004552CD"/>
    <w:rsid w:val="00485C8A"/>
    <w:rsid w:val="004A577B"/>
    <w:rsid w:val="004C24B7"/>
    <w:rsid w:val="004C5FD3"/>
    <w:rsid w:val="004D19DF"/>
    <w:rsid w:val="004E38B5"/>
    <w:rsid w:val="004F5495"/>
    <w:rsid w:val="0050425C"/>
    <w:rsid w:val="0050506E"/>
    <w:rsid w:val="00527DC3"/>
    <w:rsid w:val="0053388F"/>
    <w:rsid w:val="00541876"/>
    <w:rsid w:val="0056671A"/>
    <w:rsid w:val="00590D12"/>
    <w:rsid w:val="00591199"/>
    <w:rsid w:val="005922F7"/>
    <w:rsid w:val="005B4E27"/>
    <w:rsid w:val="005B765E"/>
    <w:rsid w:val="005D68E5"/>
    <w:rsid w:val="005E7626"/>
    <w:rsid w:val="00622931"/>
    <w:rsid w:val="00646389"/>
    <w:rsid w:val="006804EC"/>
    <w:rsid w:val="006B46BE"/>
    <w:rsid w:val="006C440D"/>
    <w:rsid w:val="006E143D"/>
    <w:rsid w:val="00701833"/>
    <w:rsid w:val="00704525"/>
    <w:rsid w:val="0070487A"/>
    <w:rsid w:val="007117D4"/>
    <w:rsid w:val="007157AE"/>
    <w:rsid w:val="00723558"/>
    <w:rsid w:val="007349E6"/>
    <w:rsid w:val="00735F4F"/>
    <w:rsid w:val="00736C60"/>
    <w:rsid w:val="007372E5"/>
    <w:rsid w:val="007400B5"/>
    <w:rsid w:val="00744389"/>
    <w:rsid w:val="00750E4C"/>
    <w:rsid w:val="00752BDE"/>
    <w:rsid w:val="0075767F"/>
    <w:rsid w:val="007744E2"/>
    <w:rsid w:val="007A47FE"/>
    <w:rsid w:val="007B7FBA"/>
    <w:rsid w:val="007E5A6D"/>
    <w:rsid w:val="00806F52"/>
    <w:rsid w:val="00816D26"/>
    <w:rsid w:val="00827F82"/>
    <w:rsid w:val="0084046E"/>
    <w:rsid w:val="008607A1"/>
    <w:rsid w:val="00876BFE"/>
    <w:rsid w:val="008C264C"/>
    <w:rsid w:val="008C757E"/>
    <w:rsid w:val="008D2336"/>
    <w:rsid w:val="008E063A"/>
    <w:rsid w:val="008E1074"/>
    <w:rsid w:val="009417C1"/>
    <w:rsid w:val="009564BB"/>
    <w:rsid w:val="00967E65"/>
    <w:rsid w:val="00970BD2"/>
    <w:rsid w:val="009809A2"/>
    <w:rsid w:val="00994C5E"/>
    <w:rsid w:val="009B1BEC"/>
    <w:rsid w:val="009B49B5"/>
    <w:rsid w:val="009B5D49"/>
    <w:rsid w:val="009D533B"/>
    <w:rsid w:val="009E1A11"/>
    <w:rsid w:val="009E46FC"/>
    <w:rsid w:val="009F3C47"/>
    <w:rsid w:val="00A06DA1"/>
    <w:rsid w:val="00A232E6"/>
    <w:rsid w:val="00A320A6"/>
    <w:rsid w:val="00A32734"/>
    <w:rsid w:val="00A40F06"/>
    <w:rsid w:val="00A631F1"/>
    <w:rsid w:val="00A92C9D"/>
    <w:rsid w:val="00AD090C"/>
    <w:rsid w:val="00AF6D59"/>
    <w:rsid w:val="00B14439"/>
    <w:rsid w:val="00B2225F"/>
    <w:rsid w:val="00B333C5"/>
    <w:rsid w:val="00B37E56"/>
    <w:rsid w:val="00B40109"/>
    <w:rsid w:val="00B5617C"/>
    <w:rsid w:val="00B94B7C"/>
    <w:rsid w:val="00BA4B38"/>
    <w:rsid w:val="00BE04FF"/>
    <w:rsid w:val="00C06EE9"/>
    <w:rsid w:val="00C43ECD"/>
    <w:rsid w:val="00C77EC0"/>
    <w:rsid w:val="00C822EA"/>
    <w:rsid w:val="00C84C48"/>
    <w:rsid w:val="00C94255"/>
    <w:rsid w:val="00CB1657"/>
    <w:rsid w:val="00CD6113"/>
    <w:rsid w:val="00CD6D1C"/>
    <w:rsid w:val="00D1344F"/>
    <w:rsid w:val="00D16704"/>
    <w:rsid w:val="00D44C9B"/>
    <w:rsid w:val="00D47DD1"/>
    <w:rsid w:val="00D51A18"/>
    <w:rsid w:val="00D91AB9"/>
    <w:rsid w:val="00DA41AA"/>
    <w:rsid w:val="00DB5076"/>
    <w:rsid w:val="00DB717D"/>
    <w:rsid w:val="00DC5A24"/>
    <w:rsid w:val="00DD297D"/>
    <w:rsid w:val="00DD3912"/>
    <w:rsid w:val="00DE6D44"/>
    <w:rsid w:val="00DE79E2"/>
    <w:rsid w:val="00DF40F7"/>
    <w:rsid w:val="00DF7F92"/>
    <w:rsid w:val="00E0479E"/>
    <w:rsid w:val="00E12F3A"/>
    <w:rsid w:val="00E13D1D"/>
    <w:rsid w:val="00E30FAD"/>
    <w:rsid w:val="00E649FF"/>
    <w:rsid w:val="00E770A6"/>
    <w:rsid w:val="00EB1CAF"/>
    <w:rsid w:val="00EB2DF1"/>
    <w:rsid w:val="00ED6231"/>
    <w:rsid w:val="00EE5346"/>
    <w:rsid w:val="00EF78BE"/>
    <w:rsid w:val="00F47372"/>
    <w:rsid w:val="00F5171C"/>
    <w:rsid w:val="00F63121"/>
    <w:rsid w:val="00F651C2"/>
    <w:rsid w:val="00FA1D0E"/>
    <w:rsid w:val="00FA1F45"/>
    <w:rsid w:val="00FE37B5"/>
    <w:rsid w:val="00FE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B46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B46BE"/>
    <w:rPr>
      <w:rFonts w:asciiTheme="majorHAnsi" w:eastAsiaTheme="majorEastAsia" w:hAnsiTheme="majorHAnsi" w:cstheme="majorBidi"/>
      <w:i/>
      <w:iCs/>
      <w:color w:val="1F3763" w:themeColor="accent1" w:themeShade="7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162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622F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9B5D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.kpi.kharkov.ua/pravo/uk/publikatsiyi/metodichki/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ryna.Lysenko@khpi.edu.ua" TargetMode="External"/><Relationship Id="rId17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kpi.kharkov.ua/pravo/uk/shtat-kafed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maksym.tkachov@khpi.edu.u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17\Desktop\&#1057;&#1080;&#1083;&#1072;&#1073;&#1091;&#1089;_&#1055;&#1088;&#1072;&#1074;&#1086;&#1079;&#1085;&#1072;&#1074;%20&#1052;&#1054;%2014.06.23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D973-32CF-4358-AFA8-3375D09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Силабус_Правознав МО 14.06.23_UKR.dotx</Template>
  <TotalTime>10</TotalTime>
  <Pages>5</Pages>
  <Words>1640</Words>
  <Characters>9351</Characters>
  <Application>Microsoft Office Word</Application>
  <DocSecurity>8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ASUS_17</dc:creator>
  <cp:lastModifiedBy>Пользователь</cp:lastModifiedBy>
  <cp:revision>7</cp:revision>
  <cp:lastPrinted>2023-04-06T03:01:00Z</cp:lastPrinted>
  <dcterms:created xsi:type="dcterms:W3CDTF">2023-06-27T06:49:00Z</dcterms:created>
  <dcterms:modified xsi:type="dcterms:W3CDTF">2024-01-11T15:05:00Z</dcterms:modified>
</cp:coreProperties>
</file>