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НАЦІОНАЛЬНИЙ </w:t>
      </w:r>
      <w:r w:rsidRPr="00FC50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ТЕХНІЧНИЙ </w:t>
      </w: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>УНІВЕРСИТЕТ</w:t>
      </w:r>
    </w:p>
    <w:p w:rsidR="00FC507A" w:rsidRPr="00CE5E36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5E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FC50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CE5E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proofErr w:type="gramStart"/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End"/>
      <w:r w:rsidRPr="00CE5E3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CE5E3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соц</w:t>
      </w:r>
      <w:proofErr w:type="spellStart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іології</w:t>
      </w:r>
      <w:proofErr w:type="spellEnd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та політології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FC507A">
        <w:rPr>
          <w:rFonts w:ascii="Times New Roman" w:eastAsia="Times New Roman" w:hAnsi="Times New Roman"/>
          <w:sz w:val="26"/>
          <w:szCs w:val="24"/>
          <w:lang w:eastAsia="ru-RU"/>
        </w:rPr>
        <w:t>«</w:t>
      </w:r>
      <w:r w:rsidRPr="00FC507A">
        <w:rPr>
          <w:rFonts w:ascii="Times New Roman" w:eastAsia="Times New Roman" w:hAnsi="Times New Roman"/>
          <w:b/>
          <w:sz w:val="26"/>
          <w:szCs w:val="24"/>
          <w:lang w:eastAsia="ru-RU"/>
        </w:rPr>
        <w:t>ЗАТВЕРДЖУЮ</w:t>
      </w:r>
      <w:r w:rsidRPr="00FC507A">
        <w:rPr>
          <w:rFonts w:ascii="Times New Roman" w:eastAsia="Times New Roman" w:hAnsi="Times New Roman"/>
          <w:sz w:val="26"/>
          <w:szCs w:val="24"/>
          <w:lang w:eastAsia="ru-RU"/>
        </w:rPr>
        <w:t>»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t xml:space="preserve">  </w:t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bookmarkStart w:id="0" w:name="_GoBack"/>
      <w:r w:rsidRPr="00CE5E36">
        <w:rPr>
          <w:rFonts w:ascii="Times New Roman" w:eastAsia="Times New Roman" w:hAnsi="Times New Roman"/>
          <w:b/>
          <w:sz w:val="26"/>
          <w:szCs w:val="24"/>
          <w:u w:val="single"/>
          <w:lang w:val="uk-UA" w:eastAsia="ru-RU"/>
        </w:rPr>
        <w:t>соціології та політології</w:t>
      </w:r>
      <w:r w:rsidRPr="00CE5E36">
        <w:rPr>
          <w:rFonts w:ascii="Times New Roman" w:eastAsia="Times New Roman" w:hAnsi="Times New Roman"/>
          <w:b/>
          <w:sz w:val="26"/>
          <w:szCs w:val="24"/>
          <w:u w:val="single"/>
          <w:lang w:val="uk-UA" w:eastAsia="ru-RU"/>
        </w:rPr>
        <w:tab/>
      </w:r>
      <w:bookmarkEnd w:id="0"/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ind w:left="2880" w:firstLine="7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(назва кафедри )</w:t>
      </w:r>
    </w:p>
    <w:p w:rsidR="00FC507A" w:rsidRPr="00FC507A" w:rsidRDefault="00FC507A" w:rsidP="00FC50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proofErr w:type="spellStart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Калагін</w:t>
      </w:r>
      <w:proofErr w:type="spellEnd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Ю.А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C507A" w:rsidRPr="00FC507A" w:rsidRDefault="00FC507A" w:rsidP="00FC507A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/>
          <w:sz w:val="19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(підпис)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(</w:t>
      </w:r>
      <w:r w:rsidRPr="00FC507A">
        <w:rPr>
          <w:rFonts w:ascii="Times New Roman" w:eastAsia="Times New Roman" w:hAnsi="Times New Roman"/>
          <w:sz w:val="19"/>
          <w:szCs w:val="24"/>
          <w:lang w:val="uk-UA" w:eastAsia="ru-RU"/>
        </w:rPr>
        <w:t>ініціали та прізвище)</w:t>
      </w:r>
    </w:p>
    <w:p w:rsidR="00FC507A" w:rsidRPr="00FC507A" w:rsidRDefault="00FC507A" w:rsidP="00FC507A">
      <w:pPr>
        <w:spacing w:after="0" w:line="240" w:lineRule="auto"/>
        <w:ind w:right="41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«27»   серпня   2020 року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Вступ до спеціальності</w:t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 назва навчальної дисципліни)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освіти_____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перший</w:t>
      </w:r>
      <w:proofErr w:type="spellEnd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(бакалаврський)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галузь знань</w:t>
      </w:r>
      <w:r w:rsidRPr="00FC507A">
        <w:rPr>
          <w:rFonts w:ascii="Times New Roman" w:eastAsia="Times New Roman" w:hAnsi="Times New Roman"/>
          <w:szCs w:val="24"/>
          <w:lang w:val="uk-UA" w:eastAsia="ru-RU"/>
        </w:rPr>
        <w:t>____________________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шифр і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назва)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спеціальність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t xml:space="preserve"> </w:t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Cs w:val="24"/>
          <w:u w:val="single"/>
          <w:lang w:val="uk-UA" w:eastAsia="ru-RU"/>
        </w:rPr>
        <w:t>_______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054 Соціологія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(шифр і назва 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освітня програма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дисципліни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професійна підготовка; обов’язкова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підготовка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форма навчання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денна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(денна / заочна/дистанційна)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highlight w:val="yellow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Харків – 2020 рік 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br w:type="page"/>
      </w: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Тема 1. Вища професійна освіта в Україні і за кордоном. НТУ «ХПІ»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Історія, сучасний стан та перспективи розвитку вищої професійної освіти.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НТУ «ХПІ»: історія створення, структура, підрозділи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Характеристика спеціальностей і спеціалізації кафедри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Організація освітнього процесу в НТУ «ХПІ»</w:t>
      </w:r>
    </w:p>
    <w:p w:rsidR="00BB07C6" w:rsidRPr="003A5D7A" w:rsidRDefault="00BB07C6" w:rsidP="003A5D7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A5D7A">
        <w:rPr>
          <w:rFonts w:ascii="Times New Roman" w:hAnsi="Times New Roman"/>
          <w:b/>
          <w:sz w:val="28"/>
          <w:lang w:val="uk-UA"/>
        </w:rPr>
        <w:t>Тематичні повідомлення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1. Віктор Львович </w:t>
      </w:r>
      <w:proofErr w:type="spellStart"/>
      <w:r w:rsidRPr="003A5D7A">
        <w:rPr>
          <w:rFonts w:ascii="Times New Roman" w:hAnsi="Times New Roman"/>
          <w:sz w:val="28"/>
          <w:lang w:val="uk-UA"/>
        </w:rPr>
        <w:t>Кірпічов</w:t>
      </w:r>
      <w:proofErr w:type="spellEnd"/>
      <w:r w:rsidRPr="003A5D7A">
        <w:rPr>
          <w:rFonts w:ascii="Times New Roman" w:hAnsi="Times New Roman"/>
          <w:sz w:val="28"/>
          <w:lang w:val="uk-UA"/>
        </w:rPr>
        <w:t xml:space="preserve"> – фундатор Харківського практичного технологічного інституту.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2. Організація навчального процесу в Харківському практичному технологічному інституті у перші роки діяльності.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3. Зародження напрямів наукових досліджень у галузі механіки, промислової хімії та електротехніки наприкінці ХІХ – на початку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4. Особливості розвитку Харківського технологічного інституту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20-х рр.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5. Історія Харківського механіко-машинобудівного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6. Історія Харківського хіміко-технологічного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7. Історія Харківського електротехнічного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8. Ректори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9. Видатні вчені-політехніки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10. Наукові школи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11. Історія факультету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12. Історія кафедри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2.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Інформаційні та бібліотечні ресурси НТУ «ХПІ».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Які можливості надає єдина картка читача?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основні можливості, які надає студенту бібліотека.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Яким чином можливо знайти потрібну навчальну, наукову та художню літературу?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Електронні ресурси бібліотеки.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3. Соціально–правовий захист студента</w:t>
      </w:r>
    </w:p>
    <w:p w:rsidR="00BB07C6" w:rsidRPr="003A5D7A" w:rsidRDefault="00BB07C6" w:rsidP="003A5D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1. Правове регулювання призначення стипендій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Види стипендій.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Яка особа може претендувати на «Соціальну стипендію»?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принцип нарахування балів, яка входять в  10%?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2. Втілення медичної реформи в університеті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Завдання центру медичної допомоги.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документи треба надати для отримання безкоштовної медичної допомоги?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Скільки днів на тиждень працює медичний пункт університету?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3. Права студентів університету на оздоровлення та дозвілля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Хто має право на першочергове отримання путівок в студентський табір?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статус має спорткомплекс НТУ «ХПІ»?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колективи працюють в Палаці студентів?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4. Право на свободу наукової творчості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 яких принципах базується робота молодих науковців?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заходи провадять наукові товариства для організації своєї діяльності?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 формуються органи наукових товариств?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Студентські громадські організації  в НТУ «ХПІ»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Правовий статус органів студентського самоврядування 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Принципи  та повноваження  органів  студентського самоврядування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Основне завдання профспілкової організації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Напрямки роботи в профспілковому комітеті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Питання, які можна вирішити в Центрі «Кар’єра».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4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Предмет та об’єкт вивчення соціології.</w:t>
      </w:r>
    </w:p>
    <w:p w:rsidR="003F45A3" w:rsidRPr="003A5D7A" w:rsidRDefault="003F45A3" w:rsidP="003A5D7A">
      <w:pPr>
        <w:pStyle w:val="a4"/>
        <w:ind w:left="0"/>
        <w:rPr>
          <w:b/>
          <w:szCs w:val="28"/>
          <w:lang w:val="uk-UA"/>
        </w:rPr>
      </w:pPr>
      <w:r w:rsidRPr="003A5D7A">
        <w:rPr>
          <w:b/>
          <w:szCs w:val="28"/>
          <w:lang w:val="uk-UA"/>
        </w:rPr>
        <w:t>Питання цільових виступів студентів для розкриття окремих проблем:</w:t>
      </w:r>
    </w:p>
    <w:p w:rsidR="003F45A3" w:rsidRPr="003A5D7A" w:rsidRDefault="003F45A3" w:rsidP="003A5D7A">
      <w:pPr>
        <w:pStyle w:val="a4"/>
        <w:numPr>
          <w:ilvl w:val="0"/>
          <w:numId w:val="1"/>
        </w:numPr>
        <w:ind w:left="0" w:firstLine="0"/>
        <w:rPr>
          <w:szCs w:val="28"/>
          <w:lang w:val="uk-UA"/>
        </w:rPr>
      </w:pPr>
      <w:r w:rsidRPr="003A5D7A">
        <w:rPr>
          <w:szCs w:val="28"/>
          <w:lang w:val="uk-UA"/>
        </w:rPr>
        <w:t>Пояснити, що розуміють під предметом та об’єктом вивчення науки?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Порівняти предмети наукового дослідження в соціології, історії, психології, юридичних науках.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Надати визначення поняттю «соціальне» з точці зору соціології.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об'єкт науки, предмет науки, об'єкт соціології, предмет соціології, соціологічне трактування соціального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BB07C6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>Тема 5</w:t>
      </w:r>
      <w:r w:rsidR="003F45A3" w:rsidRPr="003A5D7A">
        <w:rPr>
          <w:b/>
          <w:sz w:val="28"/>
          <w:szCs w:val="28"/>
          <w:u w:val="single"/>
          <w:lang w:val="uk-UA"/>
        </w:rPr>
        <w:t>.</w:t>
      </w:r>
      <w:r w:rsidR="003F45A3" w:rsidRPr="003A5D7A">
        <w:rPr>
          <w:b/>
          <w:sz w:val="28"/>
          <w:szCs w:val="28"/>
          <w:lang w:val="uk-UA"/>
        </w:rPr>
        <w:t xml:space="preserve"> Функції та структура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 допомогою прикладів поясніть, які практичні застосування мають дослідження сучасних соціологів.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науки можливо назвати «рідними сестрами» соціології?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Поясніть, які завдання виконують різни рівні соціологічного знання? 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прикладі продемонструвати зв'язок рівнів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принципові відмінності соціальних законів і закономірностей від фізичних законів? 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загальні соціологічні теорії, теорії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функція соціального проектування і соціальної технології (</w:t>
      </w:r>
      <w:proofErr w:type="spellStart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соціоінженерная</w:t>
      </w:r>
      <w:proofErr w:type="spellEnd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) закон; динамічні закони, соціальні закономірності.</w:t>
      </w: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6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КСД:  призначення, етапи, програма та методи збирання даних.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Опишіть основні напрямки КСД в сучасної Україні, які, на Вашу думку, доцільно провести.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основні етапи КСД, а також зміст основних робот на цих етапах.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Проаналізуйте переваги та недоліки методів збору даних в соціології.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декілька типів спостережень та поясніть їх різницю.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форми опитувань, які вам відомі.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Порівняйте к</w:t>
      </w:r>
      <w:r w:rsidRPr="003A5D7A">
        <w:rPr>
          <w:rFonts w:ascii="Times New Roman" w:hAnsi="Times New Roman"/>
          <w:bCs/>
          <w:sz w:val="28"/>
          <w:szCs w:val="28"/>
          <w:lang w:val="uk-UA"/>
        </w:rPr>
        <w:t>ількісні та якісні методи дослідження</w:t>
      </w:r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Опишіть основні напрямки КСД в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банкі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торговом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підпріемстві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, заводі.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3F45A3" w:rsidP="003A5D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Основні етапи розвитку </w:t>
      </w:r>
      <w:r w:rsidRPr="003A5D7A">
        <w:rPr>
          <w:rFonts w:ascii="Times New Roman" w:hAnsi="Times New Roman"/>
          <w:b/>
          <w:bCs/>
          <w:sz w:val="28"/>
          <w:szCs w:val="28"/>
          <w:lang w:val="uk-UA"/>
        </w:rPr>
        <w:t>соціології.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Пояснити, що таке «позитивна наука» за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О.Контом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Описати, на які розділи поділяв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О.Конт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соціологію та які задачі, на його думку, мусили розв’язувати соціологи в межах цих розділів.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Пояснити, в чому полягає сутність теорії природної соціальної еволюції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Г.Спенсера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Назвати основні тези соціології марксизму.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Описати, який внесок в соціологічну теорію зробив Е.Дюркгейм?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Вказати, які особливості соціологічної концепції М.Вебера.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основні соціологічні школи кінця 19 століття.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Назвати, які концепції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відносятся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макро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мікросоціологічних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теорій?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 основні постулати функціональної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конфліктологічної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парадигми.</w:t>
      </w:r>
    </w:p>
    <w:p w:rsidR="003F45A3" w:rsidRPr="003A5D7A" w:rsidRDefault="003F45A3" w:rsidP="003A5D7A">
      <w:pPr>
        <w:pStyle w:val="31"/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Пояснити соціальну взаємодію за допомогою теорії ролей та теорії обміну.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 xml:space="preserve">«позитивна наука» за </w:t>
      </w:r>
      <w:proofErr w:type="spellStart"/>
      <w:r w:rsidRPr="003A5D7A">
        <w:rPr>
          <w:sz w:val="28"/>
          <w:szCs w:val="28"/>
          <w:lang w:val="uk-UA"/>
        </w:rPr>
        <w:t>О.Контом</w:t>
      </w:r>
      <w:proofErr w:type="spellEnd"/>
      <w:r w:rsidRPr="003A5D7A">
        <w:rPr>
          <w:sz w:val="28"/>
          <w:szCs w:val="28"/>
          <w:lang w:val="uk-UA"/>
        </w:rPr>
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</w:r>
    </w:p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  <w:r w:rsidRPr="003A5D7A">
        <w:rPr>
          <w:rFonts w:ascii="Times New Roman" w:hAnsi="Times New Roman"/>
          <w:u w:val="single"/>
          <w:lang w:val="uk-UA"/>
        </w:rPr>
        <w:lastRenderedPageBreak/>
        <w:t>На протязі семестру здійснюється підготовка та захист презентації за темами індивідуальних завдань, відповідно до тем курсу.</w:t>
      </w: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3A5D7A" w:rsidRPr="003A5D7A" w:rsidTr="00F050F7">
        <w:tc>
          <w:tcPr>
            <w:tcW w:w="555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Терміни виконання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3A5D7A" w:rsidRPr="003A5D7A" w:rsidTr="00F050F7">
        <w:trPr>
          <w:trHeight w:val="699"/>
        </w:trPr>
        <w:tc>
          <w:tcPr>
            <w:tcW w:w="55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3A5D7A" w:rsidRPr="003A5D7A" w:rsidRDefault="003A5D7A" w:rsidP="003A5D7A">
            <w:pPr>
              <w:pStyle w:val="a7"/>
              <w:tabs>
                <w:tab w:val="left" w:pos="0"/>
              </w:tabs>
              <w:spacing w:line="240" w:lineRule="auto"/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за темами: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Віктор Львович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Кірпічов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– фундатор Харківського практичного технологічного інституту.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Організація навчального процесу в Харківському практичному технологічному інституті у перші роки діяльності.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Видатні вчені-політехніки (за вибором студента).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Університети Європи: створення та основні етапи.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Становлення єдиного науково-освітнього простору Європи.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Права студентів університету на оздоровлення та дозвілля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Пільги для студентів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Наукова мобільність студентів, стажування та навчання за кордоном.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</w:rPr>
              <w:t xml:space="preserve">Порядок </w:t>
            </w:r>
            <w:proofErr w:type="spellStart"/>
            <w:r w:rsidRPr="003A5D7A">
              <w:rPr>
                <w:rFonts w:ascii="Times New Roman" w:hAnsi="Times New Roman"/>
              </w:rPr>
              <w:t>відрахування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переривання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навчання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поновлення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і </w:t>
            </w:r>
            <w:proofErr w:type="spellStart"/>
            <w:r w:rsidRPr="003A5D7A">
              <w:rPr>
                <w:rFonts w:ascii="Times New Roman" w:hAnsi="Times New Roman"/>
              </w:rPr>
              <w:t>переведення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здобувачів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вищої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освіти</w:t>
            </w:r>
            <w:proofErr w:type="spellEnd"/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Відмінності людини від тварин, що дозволили створити суспільство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«Рідні сестри» соціології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Соціологія та влада – типи взаємодії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</w:rPr>
              <w:t xml:space="preserve">Роль </w:t>
            </w:r>
            <w:proofErr w:type="spellStart"/>
            <w:r w:rsidRPr="003A5D7A">
              <w:rPr>
                <w:rFonts w:ascii="Times New Roman" w:hAnsi="Times New Roman"/>
              </w:rPr>
              <w:t>соціології</w:t>
            </w:r>
            <w:proofErr w:type="spellEnd"/>
            <w:r w:rsidRPr="003A5D7A">
              <w:rPr>
                <w:rFonts w:ascii="Times New Roman" w:hAnsi="Times New Roman"/>
              </w:rPr>
              <w:t xml:space="preserve"> в </w:t>
            </w:r>
            <w:proofErr w:type="spellStart"/>
            <w:r w:rsidRPr="003A5D7A">
              <w:rPr>
                <w:rFonts w:ascii="Times New Roman" w:hAnsi="Times New Roman"/>
              </w:rPr>
              <w:t>сучасному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r w:rsidRPr="003A5D7A">
              <w:rPr>
                <w:rFonts w:ascii="Times New Roman" w:hAnsi="Times New Roman"/>
                <w:lang w:val="uk-UA"/>
              </w:rPr>
              <w:t xml:space="preserve">українському </w:t>
            </w:r>
            <w:proofErr w:type="spellStart"/>
            <w:r w:rsidRPr="003A5D7A">
              <w:rPr>
                <w:rFonts w:ascii="Times New Roman" w:hAnsi="Times New Roman"/>
              </w:rPr>
              <w:t>суспільстві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макросоціологічного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мікросоціологічного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 Розвиток соціології в Україні</w:t>
            </w:r>
          </w:p>
          <w:p w:rsidR="003A5D7A" w:rsidRPr="003A5D7A" w:rsidRDefault="008C3754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Якісні</w:t>
            </w:r>
            <w:r w:rsidR="003A5D7A" w:rsidRPr="003A5D7A">
              <w:rPr>
                <w:rFonts w:ascii="Times New Roman" w:hAnsi="Times New Roman"/>
                <w:lang w:val="uk-UA"/>
              </w:rPr>
              <w:t xml:space="preserve"> соціологічні дослідження, які можна провести в української середньої школі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Фундатори соціологічної науки.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Об’єктивні передумови появи соціології як науки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2-4</w:t>
            </w:r>
          </w:p>
          <w:p w:rsidR="008C3754" w:rsidRPr="003A5D7A" w:rsidRDefault="008C3754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4-5</w:t>
            </w:r>
          </w:p>
          <w:p w:rsidR="008C3754" w:rsidRPr="003A5D7A" w:rsidRDefault="008C3754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5-6 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6-8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9-12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13-14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14-15</w:t>
            </w:r>
          </w:p>
        </w:tc>
      </w:tr>
    </w:tbl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3A5D7A">
        <w:rPr>
          <w:rFonts w:ascii="Times New Roman" w:hAnsi="Times New Roman"/>
          <w:b/>
          <w:lang w:val="uk-UA"/>
        </w:rPr>
        <w:t>РЕКОМЕНДОВАНА ЛІТЕРАТУРА</w:t>
      </w: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РЕКОМЕНДОВАНА ЛІТЕРАТУРА</w:t>
      </w: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 П. Загальна соціологія : підручник / І. П.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Х. : Вид-во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ун-ту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справ, 2004.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8C375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В.О. Болотова, В.В. Бурега та ін.; під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ред. проф. Буреги В.В. –  Х.: НТУ «ХПІ», 2015.// http://web.kpi.kharkov.ua/sp/wp-content/uploads/sites/95/2015/11/Praktikum-2015.pdf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0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Е. Соціологія / Е.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пер. з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8C3754" w:rsidRPr="00CE5E36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Литвин А. П., Яковенко А.К.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/ А. П. Литвин, А.К. Яковенко. – Т. : ТНЕУ, 2013. //Lytvyn_Sociology_Posibnyk.pdf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закладів – 2-ге вид.,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доопр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за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ред.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В.І.Докаша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Чернівці : Чернівецький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ун-т, 2012. – 448 с//http://www.sociology.chnu.edu.ua/res/sociology/Soc.%20kafedr.%20posibnyk.pdf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П.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пер. с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польск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С.М.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Червонной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М. : Логос, 2010. – 664 с. // https://www.hse.ru/data/2010/11/01/1223555931/Shtompka_p_sociologiya_analiz_sovremennogo_obshestva.pdf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Навч.посіб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./За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..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С.О.Макеєва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.-К.: Т-во «Знання», КОО, 2008. -566с</w:t>
            </w:r>
          </w:p>
        </w:tc>
      </w:tr>
    </w:tbl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 В. Основи соціальної стратифікації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посібник. / Н. В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Л. : Магнолія 2006, 2011. //http://www.sociology-lnu.org.ua/resursy/Kovalisko.%20Osnovy%20socialnoji%20stratyficaciji.pdf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Ляпіна Л. А.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Етносоціологія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/ Л. А. Ляпіна. – Миколаїв : ЧНУ ім. Петра Могили, 2013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num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Лукашевич М. П.,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Ю. І. Яковенко. – К. : Каравела, 2008. // https://vk.com/doc-31993533_196892448?dl=5bfb2c0b412be9d9e1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: підручник / за ред. В. М.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3-тє вид. – Л. : Новий світ – 2000, 2007. – 280 с.</w:t>
            </w:r>
          </w:p>
        </w:tc>
      </w:tr>
      <w:tr w:rsidR="008C3754" w:rsidRPr="00CE5E36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 / Є. В. Сірий. – К. :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, 2010.// http://westudents.com.ua/knigi/571-sotsologya-sriy-v.html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 : підручник для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закладів / за ред. В. Г.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Городяненка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К. : Вид. центр «Академія», 2010.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 З.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/ І. З.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Черниш Н.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за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рейтингово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Журило, Д.Ю.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Становление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Харьковского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технологического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института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конце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ХІХ –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ХХ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 Д.Ю. Журило.–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НТУ «ХПІ», 2016. –264 с.</w:t>
            </w:r>
          </w:p>
        </w:tc>
      </w:tr>
      <w:tr w:rsidR="008C3754" w:rsidRPr="00CE5E36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Національний технічний університет «Харківський політехнічний інститут». Історія розвитку. 1885–2010 / уклад.: В.І. Ніколаєнко, В.В.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Кабачек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С. І.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Мешковая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[та ін.]. – Харків : НТУ «ХПІ», 2010. – 408 с. 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Радогуз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С.А. Директори (ректори) вищих технічних навчальних закладів кінця ХІХ – першої половини ХХ ст. – плеяда визначних учнів та соратників професора В.Л.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Кірпічова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С. А.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Радогуз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В.М. Скляр // Історія науки і техніки: Збірник наукових праць Державного університету Державного університету інфраструктури та технологій / Гол. ред. О.Я. Пилипчук. – К.: ДУІТ, 2017.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11. – С. 73-79.</w:t>
            </w:r>
          </w:p>
        </w:tc>
      </w:tr>
      <w:tr w:rsidR="008C3754" w:rsidRPr="00CE5E36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Скляр, В.М. Досвід організації навчального процесу та його кадрове забезпечення в Харківському технологічному інституті наприкінці ХІХ – на початку ХХ ст. / В.М. Скляр // Вісник НТУ «ХПІ» – Харків: НТУ «ХПІ», 2014. – № 59 (1101). – С. 136-144.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Харьковский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политехнический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Выпускники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гордость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слава. – Х.: Прапор, 2000. – 88 с.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«Про вищу освіту» /Верховна Рада України; Закон від 01.07.2014 № 1556-VII (Документ 1556-18, чинний, поточна редакція – Прийняття від 01.07.2014) </w:t>
            </w:r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hyperlink r:id="rId5" w:history="1">
              <w:r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http://zakon4.rada.gov.ua/laws/show/1556-18/page</w:t>
              </w:r>
            </w:hyperlink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 w:bidi="en-US"/>
              </w:rPr>
              <w:t>«Про освіту» Верховна Рада України; Закон від 05.09.2017 № 2145-VIIІ</w:t>
            </w:r>
            <w:hyperlink r:id="rId6" w:history="1">
              <w:r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uk-UA" w:eastAsia="ru-RU" w:bidi="en-US"/>
                </w:rPr>
                <w:t>http://zakon2.rada.gov.ua/laws/show/2145-19</w:t>
              </w:r>
            </w:hyperlink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«Порядок призначення і виплати стипендій», Постанова Кабінету Міністрів України від 12 липня 2004 року № 882 «Питання стипендіального забезпечення» (у редакції Постанови КМУ України від 28 грудня 2016 року № 1050) (далі – Порядок), Постановою Кабінету Міністрів України від 28 грудня 2016 року № 1047 «Про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розміри стипендій у державних та комунальних навчальних закладах, наукових установах», «Порядок використання коштів, передбачених у державному бюджеті для виплати соціальних стипендій студентам  вищих навчальних закладів», затверджених Постановою Кабінету Міністрів України від 28 грудня 2016 року № 1045;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Про затвердження Порядку надання первинної медичної допомоги</w:t>
            </w:r>
            <w:r w:rsidRPr="008C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  <w:t xml:space="preserve">, </w:t>
            </w: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Наказ МОЗ від</w:t>
            </w:r>
            <w:r w:rsidRPr="008C37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19.03.2018 р. № 504,</w:t>
            </w:r>
            <w:r w:rsidRPr="008C3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  <w:t>Зареєстровано в Міністерстві юстиції України 21 березня 2018 р. за № 348/31800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CE5E36" w:rsidP="008C3754">
            <w:pPr>
              <w:spacing w:before="100" w:beforeAutospacing="1" w:after="100" w:afterAutospacing="1" w:line="240" w:lineRule="auto"/>
              <w:contextualSpacing/>
              <w:jc w:val="both"/>
              <w:outlineLvl w:val="2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  <w:lang w:val="uk-UA" w:eastAsia="ru-RU"/>
              </w:rPr>
            </w:pPr>
            <w:hyperlink r:id="rId7" w:history="1">
              <w:r w:rsidR="008C3754" w:rsidRPr="008C3754">
                <w:rPr>
                  <w:rFonts w:ascii="Times New Roman" w:eastAsiaTheme="majorEastAsia" w:hAnsi="Times New Roman"/>
                  <w:bCs/>
                  <w:color w:val="000000" w:themeColor="text1"/>
                  <w:sz w:val="24"/>
                  <w:szCs w:val="24"/>
                  <w:lang w:val="uk-UA" w:eastAsia="ru-RU"/>
                </w:rPr>
                <w:t>Статут НТУ «ХПI»</w:t>
              </w:r>
            </w:hyperlink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Правила призначення і виплати стипендій студентам Національного технічного університету «Харківський Політехнічний Інститут» (Положення),</w:t>
            </w:r>
            <w:r w:rsidRPr="008C3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Дата введення 30 січня 2017 р., Харків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CE5E36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8" w:history="1">
              <w:r w:rsidR="008C3754"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Концепція освітньої діяльності НТУ «ХПI» на 2016-2025 роки </w:t>
              </w:r>
            </w:hyperlink>
          </w:p>
        </w:tc>
      </w:tr>
    </w:tbl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:rsidR="008C3754" w:rsidRPr="008C3754" w:rsidRDefault="008C3754" w:rsidP="008C375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ukrstat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gov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ua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Статистичні матеріали Держкомстату України</w:t>
      </w:r>
    </w:p>
    <w:p w:rsidR="008C3754" w:rsidRPr="008C3754" w:rsidRDefault="008C3754" w:rsidP="008C375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http://i-soc.com.ua/institute/el_library.php Електронна бібліотека Інституту соціології НАН України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fldChar w:fldCharType="begin"/>
      </w:r>
      <w:r w:rsidRPr="00CE5E36">
        <w:rPr>
          <w:lang w:val="uk-UA"/>
        </w:rPr>
        <w:instrText xml:space="preserve"> </w:instrText>
      </w:r>
      <w:r>
        <w:instrText>HYPERLINK</w:instrText>
      </w:r>
      <w:r w:rsidRPr="00CE5E36">
        <w:rPr>
          <w:lang w:val="uk-UA"/>
        </w:rPr>
        <w:instrText xml:space="preserve"> "</w:instrText>
      </w:r>
      <w:r>
        <w:instrText>http</w:instrText>
      </w:r>
      <w:r w:rsidRPr="00CE5E36">
        <w:rPr>
          <w:lang w:val="uk-UA"/>
        </w:rPr>
        <w:instrText>://</w:instrText>
      </w:r>
      <w:r>
        <w:instrText>sau</w:instrText>
      </w:r>
      <w:r w:rsidRPr="00CE5E36">
        <w:rPr>
          <w:lang w:val="uk-UA"/>
        </w:rPr>
        <w:instrText>.</w:instrText>
      </w:r>
      <w:r>
        <w:instrText>in</w:instrText>
      </w:r>
      <w:r w:rsidRPr="00CE5E36">
        <w:rPr>
          <w:lang w:val="uk-UA"/>
        </w:rPr>
        <w:instrText>.</w:instrText>
      </w:r>
      <w:r>
        <w:instrText>ua</w:instrText>
      </w:r>
      <w:r w:rsidRPr="00CE5E36">
        <w:rPr>
          <w:lang w:val="uk-UA"/>
        </w:rPr>
        <w:instrText>/</w:instrText>
      </w:r>
      <w:r>
        <w:instrText>doslidzhennya</w:instrText>
      </w:r>
      <w:r w:rsidRPr="00CE5E36">
        <w:rPr>
          <w:lang w:val="uk-UA"/>
        </w:rPr>
        <w:instrText xml:space="preserve">/" </w:instrText>
      </w:r>
      <w:r>
        <w:fldChar w:fldCharType="separate"/>
      </w:r>
      <w:r w:rsidR="008C3754" w:rsidRPr="008C3754">
        <w:rPr>
          <w:rFonts w:ascii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t>http://sau.in.ua/doslidzhennya/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Соціологічна асоціація України, дослідження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9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https://genderindetail.org.ua/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Гендер</w:t>
      </w:r>
      <w:proofErr w:type="spellEnd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деталях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fldChar w:fldCharType="begin"/>
      </w:r>
      <w:r w:rsidRPr="00CE5E36">
        <w:rPr>
          <w:lang w:val="uk-UA"/>
        </w:rPr>
        <w:instrText xml:space="preserve"> </w:instrText>
      </w:r>
      <w:r>
        <w:instrText>HYPERLINK</w:instrText>
      </w:r>
      <w:r w:rsidRPr="00CE5E36">
        <w:rPr>
          <w:lang w:val="uk-UA"/>
        </w:rPr>
        <w:instrText xml:space="preserve"> "</w:instrText>
      </w:r>
      <w:r>
        <w:instrText>https</w:instrText>
      </w:r>
      <w:r w:rsidRPr="00CE5E36">
        <w:rPr>
          <w:lang w:val="uk-UA"/>
        </w:rPr>
        <w:instrText>://</w:instrText>
      </w:r>
      <w:r>
        <w:instrText>idss</w:instrText>
      </w:r>
      <w:r w:rsidRPr="00CE5E36">
        <w:rPr>
          <w:lang w:val="uk-UA"/>
        </w:rPr>
        <w:instrText>.</w:instrText>
      </w:r>
      <w:r>
        <w:instrText>org</w:instrText>
      </w:r>
      <w:r w:rsidRPr="00CE5E36">
        <w:rPr>
          <w:lang w:val="uk-UA"/>
        </w:rPr>
        <w:instrText>.</w:instrText>
      </w:r>
      <w:r>
        <w:instrText>ua</w:instrText>
      </w:r>
      <w:r w:rsidRPr="00CE5E36">
        <w:rPr>
          <w:lang w:val="uk-UA"/>
        </w:rPr>
        <w:instrText>/</w:instrText>
      </w:r>
      <w:r>
        <w:instrText>public</w:instrText>
      </w:r>
      <w:r w:rsidRPr="00CE5E36">
        <w:rPr>
          <w:lang w:val="uk-UA"/>
        </w:rPr>
        <w:instrText xml:space="preserve">" </w:instrText>
      </w:r>
      <w:r>
        <w:fldChar w:fldCharType="separate"/>
      </w:r>
      <w:r w:rsidR="008C3754" w:rsidRPr="008C3754">
        <w:rPr>
          <w:rFonts w:ascii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t>https://idss.org.ua/public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Інститут демографії та соціальних досліджень імені </w:t>
      </w:r>
      <w:proofErr w:type="spellStart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М.В.Птухи</w:t>
      </w:r>
      <w:proofErr w:type="spellEnd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Національної академії наук України, публікації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0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https://i-soc.com.ua/ua/edition/publications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Сайт Інституту соціології України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https://www.vac.org.ua/ Всеукраїнська асоціація соціологів, сайт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1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http://i-soc.com.ua/ua/edition/journal/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Журнал «Соціологія: теорія, методи, маркетинг»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2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http://www.ukr-socium.org.ua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Український соціум. Науковий журнал (Київ)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http://www.genderculturecentre.org/   Центр гендерної культури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http://www.kiis.com.ua  Київський міжнародний інститут соціології (КМІС)</w:t>
      </w:r>
    </w:p>
    <w:p w:rsidR="008C3754" w:rsidRPr="008C3754" w:rsidRDefault="00CE5E36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3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http://www.uisr.org.ua/monitoring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Український інститут соціальних досліджень імені Олександра Яременка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http://www.mlsp.gov.ua/labour/control/uk/index  Міністерство соціальної політики України</w:t>
      </w:r>
    </w:p>
    <w:p w:rsidR="003A5D7A" w:rsidRPr="003A5D7A" w:rsidRDefault="008C3754" w:rsidP="008C375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http://www.dipsm.org.ua/ Державний інститут сімейної та молодіжної 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пол</w:t>
      </w:r>
      <w:proofErr w:type="spellEnd"/>
    </w:p>
    <w:sectPr w:rsidR="003A5D7A" w:rsidRPr="003A5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57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0BBF"/>
    <w:multiLevelType w:val="hybridMultilevel"/>
    <w:tmpl w:val="021671B4"/>
    <w:lvl w:ilvl="0" w:tplc="8FD2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383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7F22"/>
    <w:multiLevelType w:val="hybridMultilevel"/>
    <w:tmpl w:val="FB4C4E8C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D45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0313"/>
    <w:multiLevelType w:val="hybridMultilevel"/>
    <w:tmpl w:val="04C8E652"/>
    <w:lvl w:ilvl="0" w:tplc="61D6D0B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055"/>
    <w:multiLevelType w:val="hybridMultilevel"/>
    <w:tmpl w:val="04BC1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C4BA8"/>
    <w:multiLevelType w:val="hybridMultilevel"/>
    <w:tmpl w:val="76F079D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7FA"/>
    <w:multiLevelType w:val="hybridMultilevel"/>
    <w:tmpl w:val="ECE2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97873"/>
    <w:multiLevelType w:val="hybridMultilevel"/>
    <w:tmpl w:val="ED3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977EF"/>
    <w:multiLevelType w:val="hybridMultilevel"/>
    <w:tmpl w:val="9AB49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548B"/>
    <w:multiLevelType w:val="hybridMultilevel"/>
    <w:tmpl w:val="628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37D5A"/>
    <w:multiLevelType w:val="hybridMultilevel"/>
    <w:tmpl w:val="81204A88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67E1F3E"/>
    <w:multiLevelType w:val="multilevel"/>
    <w:tmpl w:val="516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84D7D"/>
    <w:multiLevelType w:val="hybridMultilevel"/>
    <w:tmpl w:val="120E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C98"/>
    <w:multiLevelType w:val="hybridMultilevel"/>
    <w:tmpl w:val="9FE0BF92"/>
    <w:lvl w:ilvl="0" w:tplc="D1203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1781"/>
    <w:multiLevelType w:val="hybridMultilevel"/>
    <w:tmpl w:val="A880A608"/>
    <w:lvl w:ilvl="0" w:tplc="2F52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A3"/>
    <w:rsid w:val="001E23B3"/>
    <w:rsid w:val="003A5D7A"/>
    <w:rsid w:val="003F45A3"/>
    <w:rsid w:val="0042032D"/>
    <w:rsid w:val="008C3754"/>
    <w:rsid w:val="00AC55F2"/>
    <w:rsid w:val="00B44F12"/>
    <w:rsid w:val="00BB07C6"/>
    <w:rsid w:val="00CE5E36"/>
    <w:rsid w:val="00FC507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933B-DA5E-4130-9FCC-A4FD5AD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A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A5D7A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A5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Body Text Indent"/>
    <w:basedOn w:val="a"/>
    <w:link w:val="a5"/>
    <w:rsid w:val="003F45A3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45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3F45A3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45A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Îáû÷íûé"/>
    <w:rsid w:val="003F4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F45A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B0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07C6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3A5D7A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3A5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A5D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3A5D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A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pi.kharkov.ua/v2/metodotdel/wp-content/uploads/sites/28/2018/04/razvitie-proekt.pdf" TargetMode="External"/><Relationship Id="rId13" Type="http://schemas.openxmlformats.org/officeDocument/2006/relationships/hyperlink" Target="http://www.uisr.org.ua/moni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kpi.kharkov.ua/v2/metodotdel/wp-content/uploads/sites/28/2018/04/STATU-NTU-HPI-2016.pdf" TargetMode="External"/><Relationship Id="rId12" Type="http://schemas.openxmlformats.org/officeDocument/2006/relationships/hyperlink" Target="http://www.ukr-socium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hyperlink" Target="http://i-soc.com.ua/ua/edition/journal/" TargetMode="External"/><Relationship Id="rId5" Type="http://schemas.openxmlformats.org/officeDocument/2006/relationships/hyperlink" Target="http://zakon4.rada.gov.ua/laws/show/1556-18/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-soc.com.ua/ua/edition/pub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erindetail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7</cp:revision>
  <dcterms:created xsi:type="dcterms:W3CDTF">2018-11-19T17:29:00Z</dcterms:created>
  <dcterms:modified xsi:type="dcterms:W3CDTF">2021-02-02T11:24:00Z</dcterms:modified>
</cp:coreProperties>
</file>