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A9F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2B79E67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59448A8A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14:paraId="3583C805" w14:textId="77777777" w:rsidR="00CB3A7C" w:rsidRPr="00931070" w:rsidRDefault="00CB3A7C" w:rsidP="00CB3A7C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</w:t>
      </w:r>
    </w:p>
    <w:p w14:paraId="1B9D4A46" w14:textId="77777777" w:rsidR="00CB3A7C" w:rsidRPr="00931070" w:rsidRDefault="00CB3A7C" w:rsidP="00CB3A7C">
      <w:pPr>
        <w:ind w:left="5040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C372CD4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BBFB334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44ACB33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462405D" w14:textId="77777777" w:rsidR="00CB3A7C" w:rsidRPr="00931070" w:rsidRDefault="00CB3A7C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84C0BA6" w14:textId="77777777" w:rsidR="00CB3A7C" w:rsidRPr="00931070" w:rsidRDefault="00CB3A7C" w:rsidP="00CB3A7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31070">
        <w:rPr>
          <w:rFonts w:ascii="Times New Roman" w:hAnsi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14:paraId="5867AD4E" w14:textId="77777777" w:rsidR="00CB3A7C" w:rsidRPr="00931070" w:rsidRDefault="00CB3A7C" w:rsidP="00CB3A7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1C70668D" w14:textId="0E8479D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з дисципліни</w:t>
      </w:r>
      <w:r w:rsidRPr="00931070">
        <w:rPr>
          <w:rFonts w:ascii="Times New Roman" w:eastAsia="Calibri" w:hAnsi="Times New Roman"/>
          <w:caps/>
          <w:sz w:val="28"/>
          <w:szCs w:val="28"/>
          <w:lang w:val="uk-UA"/>
        </w:rPr>
        <w:t xml:space="preserve">  </w:t>
      </w:r>
      <w:r w:rsidRPr="00931070">
        <w:rPr>
          <w:rFonts w:ascii="Times New Roman" w:hAnsi="Times New Roman"/>
          <w:b/>
          <w:sz w:val="36"/>
          <w:szCs w:val="36"/>
          <w:lang w:val="uk-UA"/>
        </w:rPr>
        <w:t>«</w:t>
      </w:r>
      <w:r>
        <w:rPr>
          <w:rFonts w:ascii="Times New Roman" w:hAnsi="Times New Roman"/>
          <w:b/>
          <w:sz w:val="36"/>
          <w:szCs w:val="36"/>
          <w:lang w:val="uk-UA"/>
        </w:rPr>
        <w:t>Кадри та безпека організацій</w:t>
      </w:r>
      <w:r w:rsidRPr="00931070">
        <w:rPr>
          <w:rFonts w:ascii="Times New Roman" w:hAnsi="Times New Roman"/>
          <w:b/>
          <w:sz w:val="36"/>
          <w:szCs w:val="36"/>
          <w:lang w:val="uk-UA"/>
        </w:rPr>
        <w:t>»</w:t>
      </w:r>
    </w:p>
    <w:p w14:paraId="1F1AE134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53E4149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05B6C9B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E623D0A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9CC9474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8680EAA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B077882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8A6EA85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67FBB3F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D3F2BF1" w14:textId="77777777" w:rsidR="00CB3A7C" w:rsidRPr="00931070" w:rsidRDefault="00CB3A7C" w:rsidP="00CB3A7C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B857E09" w14:textId="177E1E46" w:rsidR="00CB3A7C" w:rsidRDefault="00CB3A7C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C5C2404" w14:textId="55DE9D52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84633E5" w14:textId="1841C19E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DAD93AE" w14:textId="77074669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D251FEE" w14:textId="4446DBFB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D720306" w14:textId="49EAEB06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4472A1B" w14:textId="49274159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202D09F" w14:textId="410A1CB5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BFC2765" w14:textId="53801DCA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503AEE3" w14:textId="295938DF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EE786F8" w14:textId="7331CEA1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8D0DDF7" w14:textId="5FE020B9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4544ACD" w14:textId="20C65C0A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4C59CA2" w14:textId="5C16EB1C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6467F8A" w14:textId="0997C054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DBA1F46" w14:textId="084E8238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6E66440" w14:textId="0FA0D726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86A95DD" w14:textId="1C03F696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F178DEA" w14:textId="25AC3768" w:rsidR="00BE4669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AD64BC0" w14:textId="77777777" w:rsidR="00BE4669" w:rsidRPr="00CB3A7C" w:rsidRDefault="00BE4669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B411607" w14:textId="77777777" w:rsidR="00CB3A7C" w:rsidRPr="00931070" w:rsidRDefault="00CB3A7C" w:rsidP="00CB3A7C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1AEBC64" w14:textId="6A24DCB7" w:rsidR="00BE4669" w:rsidRPr="00BE4669" w:rsidRDefault="00CB3A7C" w:rsidP="00BE4669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Харків – 2021 рік</w:t>
      </w:r>
    </w:p>
    <w:p w14:paraId="02256CD6" w14:textId="77777777" w:rsidR="00CB3A7C" w:rsidRPr="005E442F" w:rsidRDefault="00CB3A7C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344BE7" w14:textId="0B860DEA" w:rsidR="008B6B06" w:rsidRPr="005E442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Питання до модульного контролю </w:t>
      </w:r>
    </w:p>
    <w:p w14:paraId="31441711" w14:textId="52F5E23F" w:rsidR="005E442F" w:rsidRPr="005E442F" w:rsidRDefault="005E442F" w:rsidP="005E442F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Модульний контроль №1</w:t>
      </w:r>
    </w:p>
    <w:p w14:paraId="0550A9F3" w14:textId="77777777" w:rsidR="008B6B06" w:rsidRPr="005E442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9478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№1.</w:t>
      </w:r>
    </w:p>
    <w:p w14:paraId="14D689E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актуальність кадрової безпеки як окремого напрямку роботи з персоналом організацій. Уточніть в чому полягає 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0574CAB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Дайте опис небезпек та ризиків,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існуванням в організації співробітників у стані хронічного стресу. Деталізуйте опис стосовно різних категорій працівників: топ-менеджерів,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менджерів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середньої ланки, спеціалістів, операторів тощо.</w:t>
      </w:r>
    </w:p>
    <w:p w14:paraId="6C91CBF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B65E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№2.</w:t>
      </w:r>
    </w:p>
    <w:p w14:paraId="5791235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Розкрийте зміст основних понять кадрової безпеки: «безпека організації», «загрози та ризики», «кадрова безпека».</w:t>
      </w:r>
    </w:p>
    <w:p w14:paraId="7606757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Що таке стрес? За якими ознаками можна ідентифікувати працівника у стані хронічного стресу? </w:t>
      </w:r>
    </w:p>
    <w:p w14:paraId="70D4FF1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№3.</w:t>
      </w:r>
    </w:p>
    <w:p w14:paraId="364A08D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Опишіть основні загрози та ризики, які супроводжують існування організації. Дайте класифікацію загроз і ризиків. Яке місце в системі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закроз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і ризиків займає кадрова безпека?</w:t>
      </w:r>
    </w:p>
    <w:p w14:paraId="5142F07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Опишіть наслідки для організації і людини стану хронічного стресу. Які причини можуть викликати стан хронічного стресу?</w:t>
      </w:r>
    </w:p>
    <w:p w14:paraId="100FA11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4522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№4.</w:t>
      </w:r>
    </w:p>
    <w:p w14:paraId="34F0E86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Опішить основні підсистеми безпеки організації. Чи залежить конфігурація підсистем безпеки від типу та характеру діяльності організації?</w:t>
      </w:r>
    </w:p>
    <w:p w14:paraId="19118F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Що таке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синдром» персоналу. За яких умов він виникає та поширюється?</w:t>
      </w:r>
    </w:p>
    <w:p w14:paraId="51B1EC3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C08D0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№5.</w:t>
      </w:r>
    </w:p>
    <w:p w14:paraId="42EFB1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Що означає термін «небезпечні категорії персоналу». На які групи поділяється «небезпечний персонал»?</w:t>
      </w:r>
    </w:p>
    <w:p w14:paraId="0070687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Які загрози та ризики для організації може принести поширення у персоналу так званого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аномічного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синдрому»?</w:t>
      </w:r>
    </w:p>
    <w:p w14:paraId="7364E3F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9634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 Завдання №6.</w:t>
      </w:r>
    </w:p>
    <w:p w14:paraId="31B362C1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Чим відрізняються так звані «соціальні» групи ризику від «ситуативних» небезпечних категорій персоналу? На які з цих двох груп мусять звертати увагу </w:t>
      </w:r>
      <w:r w:rsidRPr="005E442F">
        <w:rPr>
          <w:rFonts w:ascii="Times New Roman" w:hAnsi="Times New Roman"/>
          <w:sz w:val="28"/>
          <w:szCs w:val="28"/>
        </w:rPr>
        <w:t>HR</w:t>
      </w:r>
      <w:r w:rsidRPr="005E442F">
        <w:rPr>
          <w:rFonts w:ascii="Times New Roman" w:hAnsi="Times New Roman"/>
          <w:sz w:val="28"/>
          <w:szCs w:val="28"/>
          <w:lang w:val="uk-UA"/>
        </w:rPr>
        <w:t>-менеджери при наборі та відборі персоналу?</w:t>
      </w:r>
    </w:p>
    <w:p w14:paraId="49E0618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Яким чином професіоналізм персоналу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кадровою безпекою? За яких умов та причин компетентність працівників може бути нижчою від мінімальних вимог згідно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ьезпеки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?</w:t>
      </w:r>
    </w:p>
    <w:p w14:paraId="400A4E1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2F35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№7.</w:t>
      </w:r>
    </w:p>
    <w:p w14:paraId="7D1E3DC6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А. </w:t>
      </w:r>
      <w:r w:rsidRPr="005E442F">
        <w:rPr>
          <w:rFonts w:ascii="Times New Roman" w:hAnsi="Times New Roman"/>
          <w:sz w:val="28"/>
          <w:szCs w:val="28"/>
          <w:lang w:val="ru-RU"/>
        </w:rPr>
        <w:t xml:space="preserve">Особи з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адиктивною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як «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»: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та причини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небезпеки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для організацій. </w:t>
      </w:r>
    </w:p>
    <w:p w14:paraId="0C34C7B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безпеки» як засадничий документ для організації діяльності кадрових служб у напрямку підвищення кадрової безпеки.</w:t>
      </w:r>
    </w:p>
    <w:p w14:paraId="5FDEC22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BF42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№8.</w:t>
      </w:r>
    </w:p>
    <w:p w14:paraId="4E61E0F8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ідетнифікації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осіб з хімічним типом залежності.</w:t>
      </w:r>
    </w:p>
    <w:p w14:paraId="1C00667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Розлади особистості, що відповідають кластеру В, та їх небезпечний вплив на соціально-психологічний клімат в організації.</w:t>
      </w:r>
    </w:p>
    <w:p w14:paraId="5668551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9586C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№9.</w:t>
      </w:r>
    </w:p>
    <w:p w14:paraId="32618E2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ризики та загрози,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діями персоналом. Можливі негативні наслідки для організації злочинної або недбалої поведінки співробітників.</w:t>
      </w:r>
    </w:p>
    <w:p w14:paraId="6397A88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Розлади особистості, що відповідають кластеру А, та їх небезпечний вплив на соціально-психологічний клімат в організації.</w:t>
      </w:r>
    </w:p>
    <w:p w14:paraId="4C289FD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88539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№10.</w:t>
      </w:r>
    </w:p>
    <w:p w14:paraId="01FCB8C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Опішить основні типи й види злочинів, від яких потерпають організації. Які кримінальні загрози можуть виходити від персоналу?</w:t>
      </w:r>
    </w:p>
    <w:p w14:paraId="574A799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Розкрийте загальні ознаки поведінки людей з розладами особистості в організаціях.</w:t>
      </w:r>
    </w:p>
    <w:p w14:paraId="5F27B65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8B8E6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№11.</w:t>
      </w:r>
    </w:p>
    <w:p w14:paraId="31E230D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Які типи особистості є небезпечними з точки зору кримінальних загроз для організації.</w:t>
      </w:r>
    </w:p>
    <w:p w14:paraId="4D77E5B8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Співробітники з ментальними проблемами: основні типи й види та характер загроз,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цими особами.</w:t>
      </w:r>
    </w:p>
    <w:p w14:paraId="0BB4A03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73CFD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№12.</w:t>
      </w:r>
    </w:p>
    <w:p w14:paraId="14F99E9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Економічні та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білокомерцеві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злочини в організаціях: основні види, загрози для організації та особи, що схильні до відповідних дій.</w:t>
      </w:r>
    </w:p>
    <w:p w14:paraId="4744AEE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30F70E1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E556D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№13.</w:t>
      </w:r>
    </w:p>
    <w:p w14:paraId="49412396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цими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залежностями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62FF152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Загальнокримінальна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6EDB1C9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5634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№14.</w:t>
      </w:r>
    </w:p>
    <w:p w14:paraId="091EE6D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Особи з алкогольною залежністю в організаціях: поширеність, типологія ступеня залежності, дії адміністрації та кадрової служби стосовно відповідних персоналій.</w:t>
      </w:r>
    </w:p>
    <w:p w14:paraId="0189F76F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Профілактика хронічного стресу, професійних деформацій та професійного вигоряння в організаціях.</w:t>
      </w:r>
    </w:p>
    <w:p w14:paraId="24E61B71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B787C8" w14:textId="77777777" w:rsidR="008B6B06" w:rsidRPr="005E442F" w:rsidRDefault="008B6B06" w:rsidP="008B6B06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Модульний контроль №2</w:t>
      </w:r>
    </w:p>
    <w:p w14:paraId="5DE0DECE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1.</w:t>
      </w:r>
    </w:p>
    <w:p w14:paraId="16D0708C" w14:textId="77777777" w:rsidR="008B6B06" w:rsidRPr="005E442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структуру управляння кадровою безпекою з системних позицій. Дайте опис основних елементів системи управління кадровою безпекою.</w:t>
      </w:r>
    </w:p>
    <w:p w14:paraId="557A75A3" w14:textId="77777777" w:rsidR="008B6B06" w:rsidRPr="005E442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Якими методами можна вимірювати на практиці ступінь лояльності персоналу?</w:t>
      </w:r>
    </w:p>
    <w:p w14:paraId="55FFD2B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242C065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2.</w:t>
      </w:r>
    </w:p>
    <w:p w14:paraId="65DBB257" w14:textId="77777777" w:rsidR="008B6B06" w:rsidRPr="005E442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основні принципи управління кадровою безпекою.</w:t>
      </w:r>
    </w:p>
    <w:p w14:paraId="385590AB" w14:textId="77777777" w:rsidR="008B6B06" w:rsidRPr="005E442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Структурна </w:t>
      </w:r>
      <w:proofErr w:type="spellStart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операціоналізація</w:t>
      </w:r>
      <w:proofErr w:type="spellEnd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 поняття лояльності персоналу. Складові лояльності та відповідні індикатори для цілей соціологічного вимірювання.</w:t>
      </w:r>
    </w:p>
    <w:p w14:paraId="459BBA86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24F8EAF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3.</w:t>
      </w:r>
    </w:p>
    <w:p w14:paraId="4121878C" w14:textId="77777777" w:rsidR="008B6B06" w:rsidRPr="005E442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Визначте основні цілі та завдання управління кадровою безпекою в організації.</w:t>
      </w:r>
    </w:p>
    <w:p w14:paraId="3E59D3A3" w14:textId="77777777" w:rsidR="008B6B06" w:rsidRPr="005E442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поняття лояльності персоналу. Яку роль відіграє лояльність персоналу з точки зору управління кадровою безпекою?</w:t>
      </w:r>
    </w:p>
    <w:p w14:paraId="1718F387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3343375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4.</w:t>
      </w:r>
    </w:p>
    <w:p w14:paraId="34ADFDE3" w14:textId="77777777" w:rsidR="008B6B06" w:rsidRPr="005E442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Концепція безпеки організації та </w:t>
      </w:r>
      <w:proofErr w:type="spellStart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професіограма</w:t>
      </w:r>
      <w:proofErr w:type="spellEnd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 кадрової безпеки як базисні документи для організації практичної діяльності з управління кадровою безпекою в організації.</w:t>
      </w:r>
    </w:p>
    <w:p w14:paraId="11F1B0AE" w14:textId="77777777" w:rsidR="008B6B06" w:rsidRPr="005E442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Основні джерела формування лояльності персоналу на особистісному рівні.</w:t>
      </w:r>
    </w:p>
    <w:p w14:paraId="0013B412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EEFB424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5.</w:t>
      </w:r>
    </w:p>
    <w:p w14:paraId="1CDE72E4" w14:textId="77777777" w:rsidR="008B6B06" w:rsidRPr="005E442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Дайте опис суб’єктів управління кадровою безпекою та розкрийте їх основні функції.</w:t>
      </w:r>
    </w:p>
    <w:p w14:paraId="1CEA6399" w14:textId="77777777" w:rsidR="008B6B06" w:rsidRPr="005E442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За якими напрямами потрібно будувати роботу менеджменту організації з метою підвищення лояльності персоналу.</w:t>
      </w:r>
    </w:p>
    <w:p w14:paraId="66FBB2E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610A5AD2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6.</w:t>
      </w:r>
    </w:p>
    <w:p w14:paraId="654B1882" w14:textId="77777777" w:rsidR="008B6B06" w:rsidRPr="005E442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Визначте основні об’єкти і напрями роботи з підвищення кадрової безпеки в організації.</w:t>
      </w:r>
    </w:p>
    <w:p w14:paraId="0CF8147D" w14:textId="77777777" w:rsidR="008B6B06" w:rsidRPr="005E442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Опишіть японську модель забезпечення лояльності персоналу з точки зору її переваг та обмежень.</w:t>
      </w:r>
    </w:p>
    <w:p w14:paraId="2436AA0C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60264F65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7.</w:t>
      </w:r>
    </w:p>
    <w:p w14:paraId="38C0C902" w14:textId="77777777" w:rsidR="008B6B06" w:rsidRPr="005E442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Як впливають різноманітні характеристики компанії або установи (розмір, вид діяльності, статус) на вибір моделі організації кадрової безпеки?</w:t>
      </w:r>
    </w:p>
    <w:p w14:paraId="56EC1A1B" w14:textId="77777777" w:rsidR="008B6B06" w:rsidRPr="005E442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lastRenderedPageBreak/>
        <w:t>Як потрібно будувати роботу з особами, що проходять процедуру звільнення, в аспекті кадрової безпеки?</w:t>
      </w:r>
    </w:p>
    <w:p w14:paraId="3AB2697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69856E3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8.</w:t>
      </w:r>
    </w:p>
    <w:p w14:paraId="3EE15E30" w14:textId="77777777" w:rsidR="008B6B06" w:rsidRPr="005E442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структуру фінансових витрат на профілактичні роботи з посилення кадрової безпеки.</w:t>
      </w:r>
    </w:p>
    <w:p w14:paraId="66E73219" w14:textId="77777777" w:rsidR="008B6B06" w:rsidRPr="005E442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цілі та форми скринінгу персоналу в контексті кадрової безпеки.</w:t>
      </w:r>
    </w:p>
    <w:p w14:paraId="4E79E10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4BB356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9.</w:t>
      </w:r>
    </w:p>
    <w:p w14:paraId="0CFD1C39" w14:textId="77777777" w:rsidR="008B6B06" w:rsidRPr="005E442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65305BB8" w14:textId="77777777" w:rsidR="008B6B06" w:rsidRPr="005E442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американську модель забезпечення лояльності персоналу з позицій її переваг та обмежень.</w:t>
      </w:r>
    </w:p>
    <w:p w14:paraId="0B3B97B6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837C9E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10.</w:t>
      </w:r>
    </w:p>
    <w:p w14:paraId="5F488F62" w14:textId="77777777" w:rsidR="008B6B06" w:rsidRPr="005E442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хедхантінгу</w:t>
      </w:r>
      <w:proofErr w:type="spellEnd"/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7DB189D9" w14:textId="77777777" w:rsidR="008B6B06" w:rsidRPr="005E442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Гласні та негласні методи скринінгу персоналу: способи організації, ефективність, етичні і правові аспекти.</w:t>
      </w:r>
    </w:p>
    <w:p w14:paraId="1F025593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799B91A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11.</w:t>
      </w:r>
    </w:p>
    <w:p w14:paraId="1F5EE5FA" w14:textId="77777777" w:rsidR="008B6B06" w:rsidRPr="005E442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Використання поліграфу („детектор брехні”): цілі, організаційні, правові, моральні аспекти.</w:t>
      </w:r>
    </w:p>
    <w:p w14:paraId="16A95EE5" w14:textId="77777777" w:rsidR="008B6B06" w:rsidRPr="005E442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і проаналізуйте вплив факторів, що впливають на рівень лояльності колективу.</w:t>
      </w:r>
    </w:p>
    <w:p w14:paraId="7AAA3E1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01C324C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12.</w:t>
      </w:r>
    </w:p>
    <w:p w14:paraId="04C26DE5" w14:textId="77777777" w:rsidR="008B6B06" w:rsidRPr="005E442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алгоритм добору персоналу за критеріями кадрової безпеки.</w:t>
      </w:r>
    </w:p>
    <w:p w14:paraId="31FEAD67" w14:textId="77777777" w:rsidR="008B6B06" w:rsidRPr="005E442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роль матеріальних, моральних, корпоративних чинників в підвищенні лояльності колективу.</w:t>
      </w:r>
    </w:p>
    <w:p w14:paraId="124F1FA3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07D742E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13.</w:t>
      </w:r>
    </w:p>
    <w:p w14:paraId="67DEB285" w14:textId="77777777" w:rsidR="008B6B06" w:rsidRPr="005E442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65737FCB" w14:textId="77777777" w:rsidR="008B6B06" w:rsidRPr="005E442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Проблема збереження комерційної таємниці в організаціях. Захист від економічного шпигунства. Практичне використання методу провокації для тестування кадрової безпеки.</w:t>
      </w:r>
    </w:p>
    <w:p w14:paraId="1AFA6E2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145FCA99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14.</w:t>
      </w:r>
    </w:p>
    <w:p w14:paraId="39EC048F" w14:textId="77777777" w:rsidR="008B6B06" w:rsidRPr="005E442F" w:rsidRDefault="008B6B06" w:rsidP="008B6B06">
      <w:pPr>
        <w:numPr>
          <w:ilvl w:val="0"/>
          <w:numId w:val="14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2E77A589" w14:textId="77777777" w:rsidR="008B6B06" w:rsidRPr="005E442F" w:rsidRDefault="008B6B06" w:rsidP="008B6B06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lastRenderedPageBreak/>
        <w:t xml:space="preserve">З якими цілями та в яких умовах доцільно використовувати візуальний контроль та стрес-інтерв’ю. </w:t>
      </w:r>
    </w:p>
    <w:p w14:paraId="3F164C77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58046F3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15.</w:t>
      </w:r>
    </w:p>
    <w:p w14:paraId="352EAA53" w14:textId="77777777" w:rsidR="008B6B06" w:rsidRPr="005E442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Встановлення режимів та контроль персоналу як напрям підвищення кадрової безпеки.</w:t>
      </w:r>
    </w:p>
    <w:p w14:paraId="5A490805" w14:textId="77777777" w:rsidR="008B6B06" w:rsidRPr="005E442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Метод таємного покупця для перевірки професіоналізму персоналу у торгівельних закладах.</w:t>
      </w:r>
    </w:p>
    <w:p w14:paraId="3EC587CD" w14:textId="77777777" w:rsidR="00537A74" w:rsidRPr="005E442F" w:rsidRDefault="00537A74" w:rsidP="00537A74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14:paraId="3AF79119" w14:textId="6D60BFA2" w:rsidR="008B6B06" w:rsidRPr="005E442F" w:rsidRDefault="008B6B06" w:rsidP="00537A74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  Контрольні питання з курсу до </w:t>
      </w:r>
      <w:r w:rsidR="00DF1651">
        <w:rPr>
          <w:rFonts w:ascii="Times New Roman" w:hAnsi="Times New Roman"/>
          <w:b/>
          <w:sz w:val="28"/>
          <w:szCs w:val="28"/>
          <w:lang w:val="uk-UA"/>
        </w:rPr>
        <w:t>екзамену</w:t>
      </w:r>
    </w:p>
    <w:p w14:paraId="46864CD0" w14:textId="77777777" w:rsidR="008D75B0" w:rsidRPr="005E442F" w:rsidRDefault="008D75B0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3DB48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14:paraId="3F42BD1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7E5DCBD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14:paraId="6F62BE5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загрози та ризики, які супроводжують існування організації. </w:t>
      </w:r>
    </w:p>
    <w:p w14:paraId="3A2C0BF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Загрози та ризики, які пов’язані з персоналом, та їх деструктивні наслідки.</w:t>
      </w:r>
    </w:p>
    <w:p w14:paraId="46D38A7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14:paraId="3C732C7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Зміст поняття «організаційні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».</w:t>
      </w:r>
    </w:p>
    <w:p w14:paraId="297D2D5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Типологія «організаційних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», як небезпечних категорій персоналу.</w:t>
      </w:r>
    </w:p>
    <w:p w14:paraId="42413C3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 Групи ризику та умови їх появи в організаціях.</w:t>
      </w:r>
    </w:p>
    <w:p w14:paraId="5BB0137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як «організаційні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»: ризики і небезпеки для організацій.</w:t>
      </w:r>
    </w:p>
    <w:p w14:paraId="0CE7EEB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Хімічний тип залежності та загальні методи ідентифікації осіб з хімічним типом залежності.</w:t>
      </w:r>
    </w:p>
    <w:p w14:paraId="38BD893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алкогольною залежністю в організаціях: поширеність, типологія ступеня залежності. </w:t>
      </w:r>
    </w:p>
    <w:p w14:paraId="5A45FFA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Дії адміністрації та кадрової служби стосовно співробітників,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маюьб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ознаки хімічного типу залежності.</w:t>
      </w:r>
    </w:p>
    <w:p w14:paraId="4A6DD9D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пов’язані з цим типом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734A4EEA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Небезпека Інтернет-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адикції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для організацій. Методи профілактики.</w:t>
      </w:r>
    </w:p>
    <w:p w14:paraId="04C249F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14:paraId="2C9D46C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28B202C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14:paraId="5021AA7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14:paraId="3695821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типи й види злочинів, від яких потерпають організації. кримінальні </w:t>
      </w:r>
      <w:r w:rsidRPr="005E442F">
        <w:rPr>
          <w:rFonts w:ascii="Times New Roman" w:hAnsi="Times New Roman"/>
          <w:sz w:val="28"/>
          <w:szCs w:val="28"/>
          <w:lang w:val="uk-UA"/>
        </w:rPr>
        <w:lastRenderedPageBreak/>
        <w:t>загрози, що можуть виходити від персоналу.</w:t>
      </w:r>
    </w:p>
    <w:p w14:paraId="20AC13D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Загальнокримінальна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0482833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Економічні та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білокомірцеві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14:paraId="1DEF9EF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14:paraId="0CB2D52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Поняття хронічного стресу. Ризики і небезпеки, які пов’язані з особами, що перебувають у стані хронічного стресу. </w:t>
      </w:r>
    </w:p>
    <w:p w14:paraId="43A82E6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Професійне вигоряння. Ідентифікація осіб та методи роботи з особами у стані професійного вигоряння.</w:t>
      </w:r>
    </w:p>
    <w:p w14:paraId="260A161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Причини, що викликають стан хронічного стресу. Профілактика явища.</w:t>
      </w:r>
    </w:p>
    <w:p w14:paraId="6BFD576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14:paraId="710FD4D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безпеки.</w:t>
      </w:r>
    </w:p>
    <w:p w14:paraId="07658A8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Поняття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 персоналу». Причини та умови поширення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аномічного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синдрому» в колективі.</w:t>
      </w:r>
    </w:p>
    <w:p w14:paraId="5D806D6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Загрози та ризики для організації, пов’язані з так званим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аномічним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синдромом».</w:t>
      </w:r>
    </w:p>
    <w:p w14:paraId="22F2EFA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Система управління кадровою безпекою: об’єкти і суб’єкти.</w:t>
      </w:r>
    </w:p>
    <w:p w14:paraId="5CDF9EB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принципи управління кадровою безпекою.</w:t>
      </w:r>
    </w:p>
    <w:p w14:paraId="09D8F1A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Розробка концепції кадрової безпеки. Формулювання критеріїв кадрової безпеки.</w:t>
      </w:r>
    </w:p>
    <w:p w14:paraId="62BA7FD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14:paraId="27C7001F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хедхантінгу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185C74C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безпечного найму персоналу.</w:t>
      </w:r>
    </w:p>
    <w:p w14:paraId="2DF82BF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Покроковий алгоритм фільтрації кандидатів за критеріями кадрової безпеки.</w:t>
      </w:r>
    </w:p>
    <w:p w14:paraId="24BB756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скринінгу персоналу з метою посилення кадрової безпеки.</w:t>
      </w:r>
    </w:p>
    <w:p w14:paraId="4692CB2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безпечного вивільнення персоналу.</w:t>
      </w:r>
    </w:p>
    <w:p w14:paraId="0887700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Методика безпечного звільнення «за контрактом».</w:t>
      </w:r>
    </w:p>
    <w:p w14:paraId="4EE0A6F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Використання поліграфу („детектор брехні”): цілі, організаційні, правові, моральні аспекти.</w:t>
      </w:r>
    </w:p>
    <w:p w14:paraId="1B72FC7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Алгоритм добору персоналу за критеріями кадрової безпеки.</w:t>
      </w:r>
    </w:p>
    <w:p w14:paraId="254C692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7F6AC3A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14:paraId="3DE19AC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Практичне використання методу провокації для тестування кадрової безпеки.</w:t>
      </w:r>
    </w:p>
    <w:p w14:paraId="12FB1FA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46FA2A5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Візуальний контроль під час інтерв’ю з кандидатами та виявлення ознак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636982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lastRenderedPageBreak/>
        <w:t>Сутність стрес-інтерв’ю як методики добору персоналу за критеріями кадрової безпеки.</w:t>
      </w:r>
    </w:p>
    <w:p w14:paraId="77770BF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Встановлення режимів та контроль персоналу як напрям підвищення кадрової безпеки.</w:t>
      </w:r>
    </w:p>
    <w:p w14:paraId="2D13FF9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Система санкцій щодо «організаційних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». Принципи застосування. Правові і моральні аспекти.</w:t>
      </w:r>
    </w:p>
    <w:p w14:paraId="7341287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25BAF4B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Гласний і не гласний контроль персоналу, що здійснює служба безпеки.</w:t>
      </w:r>
    </w:p>
    <w:p w14:paraId="104AD80A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Поняття лояльності персоналу. Роль лояльності персоналу в управління кадровою безпекою.</w:t>
      </w:r>
    </w:p>
    <w:p w14:paraId="224EBD0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джерела формування лояльності персоналу на особистісному рівні.</w:t>
      </w:r>
    </w:p>
    <w:p w14:paraId="41B623EF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Соціологічний вимір лояльності персоналу організації: програма дослідження.</w:t>
      </w:r>
    </w:p>
    <w:p w14:paraId="038D6DB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Особливості японської моделі забезпечення лояльності персоналу.</w:t>
      </w:r>
    </w:p>
    <w:p w14:paraId="63B7539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Американська модель забезпечення лояльності персоналу: переваги та обмеження.</w:t>
      </w:r>
    </w:p>
    <w:p w14:paraId="0B0F55C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Практика підвищення лояльності персоналу в українських організаціях.</w:t>
      </w:r>
    </w:p>
    <w:p w14:paraId="6659649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лояльності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E73E2E6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напрями роботи менеджменту організації з підвищення лояльності персоналу.</w:t>
      </w:r>
    </w:p>
    <w:p w14:paraId="0ED44B54" w14:textId="77777777" w:rsidR="008B6B06" w:rsidRPr="0007037F" w:rsidRDefault="008B6B06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14:paraId="015A8AB8" w14:textId="77777777" w:rsidR="004D1FA4" w:rsidRPr="008B6B06" w:rsidRDefault="004D1FA4">
      <w:pPr>
        <w:rPr>
          <w:lang w:val="uk-UA"/>
        </w:rPr>
      </w:pPr>
    </w:p>
    <w:sectPr w:rsidR="004D1FA4" w:rsidRPr="008B6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AF5"/>
    <w:multiLevelType w:val="hybridMultilevel"/>
    <w:tmpl w:val="B186D1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E1C"/>
    <w:multiLevelType w:val="hybridMultilevel"/>
    <w:tmpl w:val="D17897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0574"/>
    <w:multiLevelType w:val="hybridMultilevel"/>
    <w:tmpl w:val="ADC035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C59C7"/>
    <w:multiLevelType w:val="hybridMultilevel"/>
    <w:tmpl w:val="F8601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B32FB"/>
    <w:multiLevelType w:val="hybridMultilevel"/>
    <w:tmpl w:val="FAE24A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54889"/>
    <w:multiLevelType w:val="hybridMultilevel"/>
    <w:tmpl w:val="C1463D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C3F9A"/>
    <w:multiLevelType w:val="hybridMultilevel"/>
    <w:tmpl w:val="83862F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74B39"/>
    <w:multiLevelType w:val="hybridMultilevel"/>
    <w:tmpl w:val="F9524C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0E72"/>
    <w:multiLevelType w:val="hybridMultilevel"/>
    <w:tmpl w:val="DE9A7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B104F"/>
    <w:multiLevelType w:val="hybridMultilevel"/>
    <w:tmpl w:val="A72CF1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C6E25"/>
    <w:multiLevelType w:val="hybridMultilevel"/>
    <w:tmpl w:val="A8C2C8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15021"/>
    <w:multiLevelType w:val="hybridMultilevel"/>
    <w:tmpl w:val="8A5A1D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66673"/>
    <w:multiLevelType w:val="hybridMultilevel"/>
    <w:tmpl w:val="0F4674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8481A"/>
    <w:multiLevelType w:val="hybridMultilevel"/>
    <w:tmpl w:val="7DAED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27A5E"/>
    <w:multiLevelType w:val="hybridMultilevel"/>
    <w:tmpl w:val="718434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750C3"/>
    <w:multiLevelType w:val="hybridMultilevel"/>
    <w:tmpl w:val="13CE40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639478">
    <w:abstractNumId w:val="6"/>
  </w:num>
  <w:num w:numId="2" w16cid:durableId="251017289">
    <w:abstractNumId w:val="1"/>
  </w:num>
  <w:num w:numId="3" w16cid:durableId="414975882">
    <w:abstractNumId w:val="9"/>
  </w:num>
  <w:num w:numId="4" w16cid:durableId="378433801">
    <w:abstractNumId w:val="0"/>
  </w:num>
  <w:num w:numId="5" w16cid:durableId="2058040336">
    <w:abstractNumId w:val="5"/>
  </w:num>
  <w:num w:numId="6" w16cid:durableId="273832992">
    <w:abstractNumId w:val="10"/>
  </w:num>
  <w:num w:numId="7" w16cid:durableId="1575814719">
    <w:abstractNumId w:val="15"/>
  </w:num>
  <w:num w:numId="8" w16cid:durableId="2028865187">
    <w:abstractNumId w:val="8"/>
  </w:num>
  <w:num w:numId="9" w16cid:durableId="2074770805">
    <w:abstractNumId w:val="2"/>
  </w:num>
  <w:num w:numId="10" w16cid:durableId="1330520693">
    <w:abstractNumId w:val="13"/>
  </w:num>
  <w:num w:numId="11" w16cid:durableId="509569916">
    <w:abstractNumId w:val="4"/>
  </w:num>
  <w:num w:numId="12" w16cid:durableId="1980725996">
    <w:abstractNumId w:val="11"/>
  </w:num>
  <w:num w:numId="13" w16cid:durableId="374282466">
    <w:abstractNumId w:val="12"/>
  </w:num>
  <w:num w:numId="14" w16cid:durableId="778109493">
    <w:abstractNumId w:val="7"/>
  </w:num>
  <w:num w:numId="15" w16cid:durableId="218782375">
    <w:abstractNumId w:val="3"/>
  </w:num>
  <w:num w:numId="16" w16cid:durableId="3991814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B7"/>
    <w:rsid w:val="000A7EFA"/>
    <w:rsid w:val="001F1EEE"/>
    <w:rsid w:val="004D1FA4"/>
    <w:rsid w:val="00537A74"/>
    <w:rsid w:val="005B7C05"/>
    <w:rsid w:val="005E442F"/>
    <w:rsid w:val="008B6B06"/>
    <w:rsid w:val="008D75B0"/>
    <w:rsid w:val="00910DD9"/>
    <w:rsid w:val="00BE4669"/>
    <w:rsid w:val="00CB3A7C"/>
    <w:rsid w:val="00CB3EA7"/>
    <w:rsid w:val="00DC64B7"/>
    <w:rsid w:val="00DF1651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5CA"/>
  <w15:docId w15:val="{EF21C455-59A5-4871-9A26-83ED0E7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2</cp:revision>
  <dcterms:created xsi:type="dcterms:W3CDTF">2022-10-25T08:51:00Z</dcterms:created>
  <dcterms:modified xsi:type="dcterms:W3CDTF">2022-10-25T08:51:00Z</dcterms:modified>
</cp:coreProperties>
</file>